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pPr w:leftFromText="141" w:rightFromText="141" w:vertAnchor="text" w:horzAnchor="margin" w:tblpYSpec="center"/>
        <w:tblW w:w="9299" w:type="dxa"/>
        <w:tblLook w:val="04A0" w:firstRow="1" w:lastRow="0" w:firstColumn="1" w:lastColumn="0" w:noHBand="0" w:noVBand="1"/>
      </w:tblPr>
      <w:tblGrid>
        <w:gridCol w:w="2192"/>
        <w:gridCol w:w="4153"/>
        <w:gridCol w:w="2954"/>
      </w:tblGrid>
      <w:tr w:rsidR="00D95DCB" w:rsidRPr="00D01E4C" w:rsidTr="00786D35">
        <w:trPr>
          <w:trHeight w:val="1441"/>
        </w:trPr>
        <w:tc>
          <w:tcPr>
            <w:tcW w:w="2192" w:type="dxa"/>
          </w:tcPr>
          <w:p w:rsidR="00D95DCB" w:rsidRPr="00D01E4C" w:rsidRDefault="00C03766" w:rsidP="00C03766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000125" cy="1000125"/>
                  <wp:effectExtent l="0" t="0" r="9525" b="9525"/>
                  <wp:docPr id="1" name="Resim 1" descr="F:\logo\Yalova �ni Yeni Logo Ov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logo\Yalova �ni Yeni Logo Ov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</w:tcPr>
          <w:p w:rsidR="00D95DCB" w:rsidRPr="00D01E4C" w:rsidRDefault="00D95DCB" w:rsidP="00D95DCB">
            <w:pPr>
              <w:jc w:val="center"/>
              <w:rPr>
                <w:b/>
              </w:rPr>
            </w:pPr>
          </w:p>
          <w:p w:rsidR="00D95DCB" w:rsidRPr="001D29CD" w:rsidRDefault="00D95DCB" w:rsidP="00D95DCB">
            <w:pPr>
              <w:jc w:val="center"/>
              <w:rPr>
                <w:b/>
                <w:sz w:val="24"/>
                <w:szCs w:val="24"/>
              </w:rPr>
            </w:pPr>
            <w:r w:rsidRPr="001D29CD">
              <w:rPr>
                <w:b/>
                <w:sz w:val="24"/>
                <w:szCs w:val="24"/>
              </w:rPr>
              <w:t>T.C.                                                                                                                                                                                                          YALOVA ÜNİVERSİTESİ</w:t>
            </w:r>
          </w:p>
          <w:p w:rsidR="00D95DCB" w:rsidRPr="001D29CD" w:rsidRDefault="00D95DCB" w:rsidP="00D95DCB">
            <w:pPr>
              <w:jc w:val="center"/>
              <w:rPr>
                <w:b/>
                <w:sz w:val="24"/>
                <w:szCs w:val="24"/>
              </w:rPr>
            </w:pPr>
            <w:r w:rsidRPr="001D29CD">
              <w:rPr>
                <w:b/>
                <w:sz w:val="24"/>
                <w:szCs w:val="24"/>
              </w:rPr>
              <w:t>STRATEJİ GELİŞTİRME DAİRE BAŞKANLIĞI</w:t>
            </w:r>
          </w:p>
          <w:p w:rsidR="00D95DCB" w:rsidRPr="00D01E4C" w:rsidRDefault="00D95DCB" w:rsidP="00D95DCB"/>
        </w:tc>
        <w:tc>
          <w:tcPr>
            <w:tcW w:w="2954" w:type="dxa"/>
          </w:tcPr>
          <w:p w:rsidR="00D95DCB" w:rsidRPr="00D01E4C" w:rsidRDefault="00D95DCB" w:rsidP="00D95DCB">
            <w:r w:rsidRPr="00D01E4C">
              <w:t xml:space="preserve">Doküman </w:t>
            </w:r>
            <w:proofErr w:type="gramStart"/>
            <w:r w:rsidRPr="00D01E4C">
              <w:t>No :</w:t>
            </w:r>
            <w:r w:rsidR="002320D6">
              <w:t xml:space="preserve"> </w:t>
            </w:r>
            <w:r w:rsidR="009E3738">
              <w:t>SGDB</w:t>
            </w:r>
            <w:proofErr w:type="gramEnd"/>
            <w:r w:rsidR="009E3738">
              <w:t>.</w:t>
            </w:r>
            <w:r w:rsidR="00786D35">
              <w:t>GT.</w:t>
            </w:r>
            <w:r w:rsidR="009E3738">
              <w:t>M</w:t>
            </w:r>
            <w:r w:rsidR="00E75DED">
              <w:t>Y.1</w:t>
            </w:r>
          </w:p>
          <w:p w:rsidR="00D95DCB" w:rsidRPr="00D01E4C" w:rsidRDefault="00D95DCB" w:rsidP="00D95DCB">
            <w:r w:rsidRPr="00D01E4C">
              <w:t xml:space="preserve">İlk Yayın </w:t>
            </w:r>
            <w:proofErr w:type="gramStart"/>
            <w:r w:rsidRPr="00D01E4C">
              <w:t>Tarihi :</w:t>
            </w:r>
            <w:proofErr w:type="gramEnd"/>
          </w:p>
          <w:p w:rsidR="00D95DCB" w:rsidRPr="00D01E4C" w:rsidRDefault="00D95DCB" w:rsidP="00D95DCB">
            <w:r w:rsidRPr="00D01E4C">
              <w:t xml:space="preserve">Revizyon </w:t>
            </w:r>
            <w:proofErr w:type="gramStart"/>
            <w:r w:rsidRPr="00D01E4C">
              <w:t>Tarihi :</w:t>
            </w:r>
            <w:proofErr w:type="gramEnd"/>
          </w:p>
          <w:p w:rsidR="00D95DCB" w:rsidRPr="00D01E4C" w:rsidRDefault="00D95DCB" w:rsidP="00D95DCB">
            <w:pPr>
              <w:ind w:right="-108"/>
            </w:pPr>
            <w:r w:rsidRPr="00D01E4C">
              <w:t xml:space="preserve">Revizyon </w:t>
            </w:r>
            <w:proofErr w:type="gramStart"/>
            <w:r w:rsidRPr="00D01E4C">
              <w:t>No :</w:t>
            </w:r>
            <w:proofErr w:type="gramEnd"/>
          </w:p>
          <w:p w:rsidR="00D95DCB" w:rsidRPr="00D01E4C" w:rsidRDefault="00D95DCB" w:rsidP="00D95DCB">
            <w:proofErr w:type="gramStart"/>
            <w:r w:rsidRPr="00D01E4C">
              <w:t>Sayfa :</w:t>
            </w:r>
            <w:proofErr w:type="gramEnd"/>
          </w:p>
        </w:tc>
      </w:tr>
    </w:tbl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</w:rPr>
      </w:pPr>
      <w:r w:rsidRPr="001D29CD">
        <w:rPr>
          <w:b/>
          <w:sz w:val="28"/>
          <w:szCs w:val="28"/>
        </w:rPr>
        <w:t>GÖREV TANIM FORMU</w:t>
      </w:r>
    </w:p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>BİRİMİ: STRATEJİ GELİŞTİRME DAİRE BAŞKANLIĞI</w:t>
      </w:r>
    </w:p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 xml:space="preserve">ALT BİRİM: MUHASEBE KESİN </w:t>
      </w:r>
      <w:r w:rsidR="00612BD8" w:rsidRPr="001D29CD">
        <w:rPr>
          <w:b/>
          <w:sz w:val="24"/>
          <w:szCs w:val="24"/>
        </w:rPr>
        <w:t>HESAP VE</w:t>
      </w:r>
      <w:r w:rsidRPr="001D29CD">
        <w:rPr>
          <w:b/>
          <w:sz w:val="24"/>
          <w:szCs w:val="24"/>
        </w:rPr>
        <w:t xml:space="preserve"> RAPORLAMA ŞUBE MÜDÜRLÜĞÜ</w:t>
      </w:r>
    </w:p>
    <w:p w:rsidR="00AC727D" w:rsidRPr="001D29CD" w:rsidRDefault="00AC727D" w:rsidP="00AC72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 xml:space="preserve">GÖREV </w:t>
      </w:r>
      <w:r w:rsidR="001E75CB" w:rsidRPr="001D29CD">
        <w:rPr>
          <w:b/>
          <w:sz w:val="24"/>
          <w:szCs w:val="24"/>
        </w:rPr>
        <w:t xml:space="preserve">ADI: </w:t>
      </w:r>
      <w:r w:rsidRPr="001D29CD">
        <w:rPr>
          <w:b/>
          <w:sz w:val="24"/>
          <w:szCs w:val="24"/>
        </w:rPr>
        <w:t>MUHASEBE YETKİLİSİ</w:t>
      </w:r>
    </w:p>
    <w:p w:rsidR="00AC727D" w:rsidRDefault="00AC727D" w:rsidP="001D2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D29CD">
        <w:rPr>
          <w:b/>
          <w:sz w:val="24"/>
          <w:szCs w:val="24"/>
        </w:rPr>
        <w:t>GÖREV AMACI:</w:t>
      </w:r>
      <w:r w:rsidR="00D35A46">
        <w:rPr>
          <w:b/>
        </w:rPr>
        <w:t xml:space="preserve">  </w:t>
      </w:r>
      <w:r w:rsidR="00D35A46" w:rsidRPr="001E75CB">
        <w:t xml:space="preserve">Karar, </w:t>
      </w:r>
      <w:r w:rsidR="00C374E6" w:rsidRPr="001E75CB">
        <w:t>kontrol</w:t>
      </w:r>
      <w:r w:rsidR="00D35A46" w:rsidRPr="001E75CB">
        <w:t xml:space="preserve"> ve hesap verme süreçlerinin etkili çalışmasını </w:t>
      </w:r>
      <w:r w:rsidR="00C374E6" w:rsidRPr="001E75CB">
        <w:t>sağlayacak ve</w:t>
      </w:r>
      <w:r w:rsidR="00D35A46" w:rsidRPr="001E75CB">
        <w:t xml:space="preserve"> mali raporların düzenlenmesi ile kesin hesabın çıkarılmasına temel olacak ş</w:t>
      </w:r>
      <w:r w:rsidR="00066FD0">
        <w:t>ekilde Muhasebe sisteminin kurulması</w:t>
      </w:r>
      <w:r w:rsidR="00D35A46" w:rsidRPr="001E75CB">
        <w:t xml:space="preserve"> ve yürüt</w:t>
      </w:r>
      <w:r w:rsidR="00066FD0">
        <w:t>ülmesi iş ve işlemlerinin yasal düzenlemeler ve belirlenen standartlara uygun olarak gerçekleştirilmesini sağlamak</w:t>
      </w:r>
      <w:r w:rsidR="00D35A46" w:rsidRPr="001E75CB">
        <w:t>.</w:t>
      </w:r>
    </w:p>
    <w:p w:rsidR="003433D1" w:rsidRDefault="006C256D" w:rsidP="006C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proofErr w:type="gramStart"/>
      <w:r w:rsidRPr="00EF72A8">
        <w:rPr>
          <w:b/>
        </w:rPr>
        <w:t xml:space="preserve">İLGİLİ MEVZUAT:                                                                                                                                                             </w:t>
      </w:r>
      <w:r w:rsidRPr="002D7648">
        <w:t>657 sayılı Devlet Memurları Kanunu</w:t>
      </w:r>
      <w:r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t xml:space="preserve">                                      </w:t>
      </w:r>
      <w:r w:rsidRPr="0092389D">
        <w:t xml:space="preserve"> </w:t>
      </w:r>
      <w:r>
        <w:t xml:space="preserve">             </w:t>
      </w:r>
      <w:r w:rsidRPr="0092389D">
        <w:t xml:space="preserve">5018 sayılı </w:t>
      </w:r>
      <w:r>
        <w:t>Kamu Mali Yönetimi ve Kontrol K</w:t>
      </w:r>
      <w:r w:rsidRPr="0092389D">
        <w:t>anun</w:t>
      </w:r>
      <w:r>
        <w:t>u                                                                                                                             4734 sayılı Kamu İhale Kanunu                                                                                                                                             4735 saylı Kamu İhale Sözleşme Kanunu                                                                                                                           6245 sayılı Harcırah Kanunu                                                                                                                                               6183 saylı Amme Alacakla</w:t>
      </w:r>
      <w:r w:rsidR="001D29CD">
        <w:t>rının Tahsil ve Esasları Kanunu</w:t>
      </w:r>
      <w:r>
        <w:t xml:space="preserve">                                                                                                         2886 saylı Devlet İhale Kanunu </w:t>
      </w:r>
      <w:r w:rsidR="003433D1">
        <w:t xml:space="preserve">                                                                                                                       </w:t>
      </w:r>
      <w:r>
        <w:t>6085 sayılı Sayıştay Kanunu</w:t>
      </w:r>
      <w:r w:rsidRPr="00595F7A">
        <w:t xml:space="preserve"> </w:t>
      </w:r>
      <w:r>
        <w:t xml:space="preserve">                                                        </w:t>
      </w:r>
      <w:r w:rsidR="009E3434">
        <w:t xml:space="preserve">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26647E">
        <w:t xml:space="preserve">                      Strateji Ge</w:t>
      </w:r>
      <w:r w:rsidRPr="0092389D">
        <w:t xml:space="preserve">liştirme </w:t>
      </w:r>
      <w:r w:rsidR="0026647E">
        <w:t>B</w:t>
      </w:r>
      <w:r w:rsidRPr="0092389D">
        <w:t xml:space="preserve">irimlerinin </w:t>
      </w:r>
      <w:r w:rsidR="0026647E">
        <w:t>Ç</w:t>
      </w:r>
      <w:r w:rsidRPr="0092389D">
        <w:t xml:space="preserve">alışma </w:t>
      </w:r>
      <w:r w:rsidR="0026647E">
        <w:t>U</w:t>
      </w:r>
      <w:r w:rsidRPr="0092389D">
        <w:t>sul ve</w:t>
      </w:r>
      <w:r>
        <w:t xml:space="preserve"> </w:t>
      </w:r>
      <w:r w:rsidR="0026647E">
        <w:t>E</w:t>
      </w:r>
      <w:r>
        <w:t xml:space="preserve">sasları </w:t>
      </w:r>
      <w:r w:rsidR="0026647E">
        <w:t>H</w:t>
      </w:r>
      <w:r>
        <w:t>akkında</w:t>
      </w:r>
      <w:r w:rsidR="0026647E">
        <w:t xml:space="preserve"> Y</w:t>
      </w:r>
      <w:r>
        <w:t xml:space="preserve">önetmelik </w:t>
      </w:r>
      <w:r>
        <w:tab/>
      </w:r>
      <w:r>
        <w:tab/>
      </w:r>
      <w:r>
        <w:tab/>
        <w:t xml:space="preserve"> Merke</w:t>
      </w:r>
      <w:r w:rsidR="001D29CD">
        <w:t>zi Yönetim Muhasebe Yönetmeliği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Merkezi Yönetim Harcama Belgeleri Yönetmeliği</w:t>
      </w:r>
      <w:r>
        <w:br/>
        <w:t xml:space="preserve">Taşınır Mal Yönetmeliği </w:t>
      </w:r>
      <w:r w:rsidR="00992976">
        <w:t xml:space="preserve">                                                                                                                                         2547 sayılı Yükseköğretim kanunu                                                                                                                      2914 sayılı Yükseköğretim Personel Kanunu                                                                                                       3843 sayılı Y</w:t>
      </w:r>
      <w:r w:rsidR="00992976" w:rsidRPr="00524594">
        <w:t>ü</w:t>
      </w:r>
      <w:r w:rsidR="00992976">
        <w:t>kseköğretim Kurumlarında İkili Ö</w:t>
      </w:r>
      <w:r w:rsidR="00992976" w:rsidRPr="00524594">
        <w:t>ğre</w:t>
      </w:r>
      <w:r w:rsidR="00992976">
        <w:t>tim Yapılması Hakkındaki Kanun</w:t>
      </w:r>
      <w:r>
        <w:br/>
        <w:t>BAP,  TÜBİTAK, SAN-TEZ, FARABİ, ERASMUS, AB Hibe Programı, Kalkınma Bakanlığı ve Bilimsel Araştırma Projelerinin Muhasebeleştirmelerine İlişkin Yönetmelik</w:t>
      </w:r>
      <w:r>
        <w:br/>
      </w:r>
      <w:r w:rsidRPr="00B13D51">
        <w:t>Kamu İdarelerine Ait Taşınmazların Kaydına İlişkin Yönetmelik</w:t>
      </w:r>
      <w:r>
        <w:t xml:space="preserve"> </w:t>
      </w:r>
      <w:r>
        <w:br/>
      </w:r>
      <w:r w:rsidRPr="00B13D51">
        <w:t>Kamu İdarelerinin Kesin Hesaplarının Düzenlenmesine İlişkin Usul ve Esaslar Hakkında Yönetmelik ve Ekleri</w:t>
      </w:r>
      <w:r>
        <w:t xml:space="preserve"> </w:t>
      </w:r>
      <w:r>
        <w:br/>
      </w:r>
      <w:r w:rsidRPr="00B13D51">
        <w:t>Kamu Zararlarının Tahsiline İlişkin Usul</w:t>
      </w:r>
      <w:r>
        <w:t xml:space="preserve"> ve Esaslar Hakkında Yönetmelik</w:t>
      </w:r>
      <w:r>
        <w:br/>
      </w:r>
      <w:r w:rsidRPr="00B13D51">
        <w:t>Muhasebe Yetkilisi Adaylarının Eğitimi, Sertifika Verilmesi ile Muhasebe Yetkililerinin Çalışma Usul v</w:t>
      </w:r>
      <w:r>
        <w:t xml:space="preserve">e Esasları Hakkında Yönetmelik </w:t>
      </w:r>
      <w:r>
        <w:br/>
      </w:r>
      <w:r w:rsidRPr="00B13D51">
        <w:t>Muhasebe Yetkilisi Mutemetlerinin Görevlendirilmeleri, Yetkileri, Denetimi ve Çalışma Usul v</w:t>
      </w:r>
      <w:r>
        <w:t xml:space="preserve">e </w:t>
      </w:r>
      <w:r>
        <w:lastRenderedPageBreak/>
        <w:t>Esasları Hakkında Yönetmelik</w:t>
      </w:r>
      <w:r>
        <w:br/>
      </w:r>
      <w:proofErr w:type="gramEnd"/>
    </w:p>
    <w:p w:rsidR="006C256D" w:rsidRPr="00786A4C" w:rsidRDefault="006C256D" w:rsidP="006C25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</w:pPr>
      <w:r w:rsidRPr="00B13D51">
        <w:t xml:space="preserve">Ön Ödeme Usul ve Esasları Hakkında Yönetmelik. </w:t>
      </w:r>
      <w:r w:rsidR="00BE353A">
        <w:t xml:space="preserve">                                                                                    </w:t>
      </w:r>
      <w:proofErr w:type="gramStart"/>
      <w:r w:rsidRPr="00B13D51">
        <w:t>Sosyal Güvenlik Kurumu Prim Ve İdari Para Cezası Borçlarının Hak edişlerden Mahsubu, Ödenmesi Ve İlişiksizlik Belgesin</w:t>
      </w:r>
      <w:r>
        <w:t>in Aranması Hakkında Yönetmelik</w:t>
      </w:r>
      <w:r w:rsidR="000B240D">
        <w:t xml:space="preserve">                                                                                                                                                                </w:t>
      </w:r>
      <w:r w:rsidRPr="00B13D51">
        <w:t>Kamu Haznedarlığına İlişkin Tebliğler</w:t>
      </w:r>
      <w:r>
        <w:br/>
      </w:r>
      <w:r w:rsidRPr="00477037">
        <w:t xml:space="preserve">Aylıkların Banka Aracılığıyla Ödenmesi Hakkında Genel Tebliğ </w:t>
      </w:r>
      <w:r w:rsidR="000B240D">
        <w:br/>
      </w:r>
      <w:r w:rsidRPr="00477037">
        <w:t>Parasal Sınırlar ve Oranlar Hakkında Genel Tebliğ</w:t>
      </w:r>
      <w:r w:rsidR="000B240D">
        <w:br/>
        <w:t xml:space="preserve">(15) </w:t>
      </w:r>
      <w:r w:rsidRPr="00477037">
        <w:t xml:space="preserve">Sıra </w:t>
      </w:r>
      <w:proofErr w:type="spellStart"/>
      <w:r w:rsidRPr="00477037">
        <w:t>Nolu</w:t>
      </w:r>
      <w:proofErr w:type="spellEnd"/>
      <w:r w:rsidRPr="00477037">
        <w:t xml:space="preserve"> Genel Tebliğ Teminat Mektupları</w:t>
      </w:r>
      <w:r>
        <w:br/>
      </w:r>
      <w:r w:rsidRPr="00477037">
        <w:t xml:space="preserve">(07) Sıra </w:t>
      </w:r>
      <w:proofErr w:type="spellStart"/>
      <w:r w:rsidRPr="00477037">
        <w:t>Nolu</w:t>
      </w:r>
      <w:proofErr w:type="spellEnd"/>
      <w:r w:rsidRPr="00477037">
        <w:t xml:space="preserve"> Genel Tebliğ</w:t>
      </w:r>
      <w:r>
        <w:t xml:space="preserve"> Hesaba Aktarma Suretiyle Ödeme</w:t>
      </w:r>
      <w:r>
        <w:br/>
      </w:r>
      <w:r w:rsidRPr="00477037">
        <w:t xml:space="preserve">(16) Sıra </w:t>
      </w:r>
      <w:proofErr w:type="spellStart"/>
      <w:r w:rsidRPr="00477037">
        <w:t>Nolu</w:t>
      </w:r>
      <w:proofErr w:type="spellEnd"/>
      <w:r w:rsidRPr="00477037">
        <w:t xml:space="preserve"> Ge</w:t>
      </w:r>
      <w:r>
        <w:t>nel Tebliğ Kişilerden Alacaklar</w:t>
      </w:r>
      <w:r w:rsidRPr="00477037">
        <w:t xml:space="preserve"> </w:t>
      </w:r>
      <w:r>
        <w:br/>
      </w:r>
      <w:r w:rsidRPr="00477037">
        <w:t xml:space="preserve">(18) Sıra </w:t>
      </w:r>
      <w:proofErr w:type="spellStart"/>
      <w:r w:rsidRPr="00477037">
        <w:t>Nolu</w:t>
      </w:r>
      <w:proofErr w:type="spellEnd"/>
      <w:r w:rsidRPr="00477037">
        <w:t xml:space="preserve"> Genel Tebliğ hak edişlerden Yapılacak Kesintiler</w:t>
      </w:r>
      <w:r>
        <w:t xml:space="preserve"> </w:t>
      </w:r>
      <w:r w:rsidR="00093821">
        <w:t xml:space="preserve">                                                        </w:t>
      </w:r>
      <w:r w:rsidR="00D811CE">
        <w:t xml:space="preserve">         </w:t>
      </w:r>
      <w:r w:rsidR="001D29CD">
        <w:t xml:space="preserve">  </w:t>
      </w:r>
      <w:r w:rsidR="00093821">
        <w:t xml:space="preserve"> </w:t>
      </w:r>
      <w:proofErr w:type="gramEnd"/>
    </w:p>
    <w:p w:rsidR="00AC727D" w:rsidRPr="001D29CD" w:rsidRDefault="00435B3B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b/>
          <w:sz w:val="24"/>
          <w:szCs w:val="24"/>
        </w:rPr>
      </w:pPr>
      <w:r w:rsidRPr="001D29CD">
        <w:rPr>
          <w:b/>
          <w:sz w:val="24"/>
          <w:szCs w:val="24"/>
        </w:rPr>
        <w:t>GÖREVLER</w:t>
      </w:r>
    </w:p>
    <w:p w:rsidR="00AC727D" w:rsidRPr="00AC727D" w:rsidRDefault="00745470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Döner sermaye işlemleri hariç olmak üzere </w:t>
      </w:r>
      <w:r w:rsidR="00AC727D" w:rsidRPr="00AC727D">
        <w:rPr>
          <w:rFonts w:cstheme="minorHAnsi"/>
        </w:rPr>
        <w:t>Üniversitemiz</w:t>
      </w:r>
      <w:r w:rsidR="00245183">
        <w:rPr>
          <w:rFonts w:cstheme="minorHAnsi"/>
        </w:rPr>
        <w:t xml:space="preserve"> Muhasebe Hizmetlerini yürütmek,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Üniversite harcama birimlerinden gelen her türlü ödeme emri ve muhasebe işlem fişi evraklarının mevzuata uygunluk kontrolünü yaparak kontrol işlemi tamamlanan evrakların öd</w:t>
      </w:r>
      <w:r w:rsidR="00245183">
        <w:rPr>
          <w:rFonts w:cstheme="minorHAnsi"/>
        </w:rPr>
        <w:t>eme işlemlerini gerçekleştirmek,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 xml:space="preserve">Ödeme emri belgesi ve ekleri üzerinde yapılan kontroller sonucunda noksanlığı tespit edilerek tamamlanmak üzere ilgili birime iade edilen ödeme emri belgeleri tamamlanarak kayıtlara girildikten sonra bu tutarı </w:t>
      </w:r>
      <w:r w:rsidR="00245183">
        <w:rPr>
          <w:rFonts w:cstheme="minorHAnsi"/>
        </w:rPr>
        <w:t>yeni giriş sırasına göre ödemek,</w:t>
      </w:r>
    </w:p>
    <w:p w:rsid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Tahsili Üniversitemize ait alacaklardan borçlusu başka yerde olduğu anlaşılanların tahsilini borçlunun bulunduğu yerdeki aynı kamu idaresi</w:t>
      </w:r>
      <w:r w:rsidR="00245183">
        <w:rPr>
          <w:rFonts w:cstheme="minorHAnsi"/>
        </w:rPr>
        <w:t>nin muhasebe biriminden istemek,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Özlük hakları (doğum, aile yardımı vb.)ile</w:t>
      </w:r>
      <w:r w:rsidR="00245183">
        <w:rPr>
          <w:rFonts w:cstheme="minorHAnsi"/>
        </w:rPr>
        <w:t xml:space="preserve"> ilgili ödeme işlerini yürütmek,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Defter ve belgelerin düzenlenmesinde ve bunların Sayıştay’a ve ilgili kamu idaresine gönderilmesinde muhasebe yönetmeliklerinde yer alan usul ve esaslar ile Sayıştay tarafından be</w:t>
      </w:r>
      <w:r w:rsidR="00245183">
        <w:rPr>
          <w:rFonts w:cstheme="minorHAnsi"/>
        </w:rPr>
        <w:t>lirlenen usul ve esaslara uymak,</w:t>
      </w:r>
    </w:p>
    <w:p w:rsidR="00AC727D" w:rsidRPr="00AC727D" w:rsidRDefault="00A53127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Muhasebe</w:t>
      </w:r>
      <w:r>
        <w:rPr>
          <w:rFonts w:cstheme="minorHAnsi"/>
        </w:rPr>
        <w:t xml:space="preserve"> </w:t>
      </w:r>
      <w:r w:rsidRPr="00AC727D">
        <w:rPr>
          <w:rFonts w:cstheme="minorHAnsi"/>
        </w:rPr>
        <w:t xml:space="preserve">yetkilisi </w:t>
      </w:r>
      <w:r>
        <w:rPr>
          <w:rFonts w:cstheme="minorHAnsi"/>
        </w:rPr>
        <w:t>mutemetlerinin</w:t>
      </w:r>
      <w:r w:rsidR="00AC727D" w:rsidRPr="00AC727D">
        <w:rPr>
          <w:rFonts w:cstheme="minorHAnsi"/>
        </w:rPr>
        <w:t xml:space="preserve"> hesap, belge ve işlemlerini ilgili mevzuatta </w:t>
      </w:r>
      <w:r w:rsidR="00245183">
        <w:rPr>
          <w:rFonts w:cstheme="minorHAnsi"/>
        </w:rPr>
        <w:t>öngörülen zamanlarda denetlemek,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Mutemetleri aracılığıyla aldıkları ve elden çıkardıkları para ve parayla ifade edilebilen değerler ile bunlarda meydan</w:t>
      </w:r>
      <w:r w:rsidR="00245183">
        <w:rPr>
          <w:rFonts w:cstheme="minorHAnsi"/>
        </w:rPr>
        <w:t>a gelebilecek kayıpları önlemek,</w:t>
      </w:r>
    </w:p>
    <w:p w:rsidR="00AC727D" w:rsidRPr="00AC727D" w:rsidRDefault="00AC727D" w:rsidP="00492E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rFonts w:cstheme="minorHAnsi"/>
        </w:rPr>
      </w:pPr>
      <w:r w:rsidRPr="00AC727D">
        <w:rPr>
          <w:rFonts w:cstheme="minorHAnsi"/>
        </w:rPr>
        <w:t>Üniversite aleyhine oluşan kamu zararının, zararın oluştuğu tarihten itibaren ilgili mevzuatına göre borç tahakkuku yapmak ve faiziy</w:t>
      </w:r>
      <w:r w:rsidR="00245183">
        <w:rPr>
          <w:rFonts w:cstheme="minorHAnsi"/>
        </w:rPr>
        <w:t>le beraber tahsilatını sağlamak,</w:t>
      </w:r>
    </w:p>
    <w:p w:rsid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Yersiz ve fazla tahsil edilen tutarların ilgililerine geri vermek, geri verilecek tutarın düzenlenen belgelerde öngörü</w:t>
      </w:r>
      <w:r w:rsidR="00245183">
        <w:rPr>
          <w:rFonts w:cstheme="minorHAnsi"/>
        </w:rPr>
        <w:t>len tutara uygunluğunu sağlamak,</w:t>
      </w:r>
    </w:p>
    <w:p w:rsidR="00492E58" w:rsidRPr="00AC727D" w:rsidRDefault="00492E58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Kısmi zamanlı öğrenci ücretleri ödemelerini ilgili mevzuat çerçevesinde kontrol etmek,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lastRenderedPageBreak/>
        <w:t>Denetimler sonucu tespit edilecek fazla ödemeleri kişi borcuna almak, tahsil etmek ve s</w:t>
      </w:r>
      <w:r w:rsidR="00245183">
        <w:rPr>
          <w:rFonts w:cstheme="minorHAnsi"/>
        </w:rPr>
        <w:t>onuçlarını Sayıştay’a bildirmek,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Kurum alacaklarını takip ve tahsil ettirmek ve bunlardan mahkeme veya icraya intikali gerekenlerin Hukuk Müşavirliği</w:t>
      </w:r>
      <w:r w:rsidR="00245183">
        <w:rPr>
          <w:rFonts w:cstheme="minorHAnsi"/>
        </w:rPr>
        <w:t xml:space="preserve"> marifetiyle takibini yaptırmak,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Emaneten yapılan nakden ve mahsuben tahsilatlar ile ilgili mevzuatları uyarınca diğer kamu ve özel kişi veya kurumlar adına ödeme emri belgesi üzerinden kesilmek suretiyle emanet hesaplarına alınan tutarların i</w:t>
      </w:r>
      <w:r w:rsidR="00245183">
        <w:rPr>
          <w:rFonts w:cstheme="minorHAnsi"/>
        </w:rPr>
        <w:t>lgililerine ödenmesini sağlamak,</w:t>
      </w:r>
    </w:p>
    <w:p w:rsidR="00AC727D" w:rsidRPr="00AC727D" w:rsidRDefault="00A53127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 xml:space="preserve">Nakit </w:t>
      </w:r>
      <w:r>
        <w:rPr>
          <w:rFonts w:cstheme="minorHAnsi"/>
        </w:rPr>
        <w:t>yetersizliği</w:t>
      </w:r>
      <w:r w:rsidR="00AC727D" w:rsidRPr="00AC727D">
        <w:rPr>
          <w:rFonts w:cstheme="minorHAnsi"/>
        </w:rPr>
        <w:t xml:space="preserve"> veya hak sahibinin bulunamaması nedeniyle bütçe emanetine alınan tutarların i</w:t>
      </w:r>
      <w:r w:rsidR="00245183">
        <w:rPr>
          <w:rFonts w:cstheme="minorHAnsi"/>
        </w:rPr>
        <w:t>lgililerine ödenmesini sağlamak,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Muhasebe hizmetleri ile ilgili defter ve kayıtla</w:t>
      </w:r>
      <w:r w:rsidR="00245183">
        <w:rPr>
          <w:rFonts w:cstheme="minorHAnsi"/>
        </w:rPr>
        <w:t>rı mali yıl esasına göre tutmak,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Muhasebe hizmetlerine ilişkin defter, kayıt ve belgeleri ilgili mevzuatında belirtilen sürelerle muhafaza etmek ve d</w:t>
      </w:r>
      <w:r w:rsidR="00245183">
        <w:rPr>
          <w:rFonts w:cstheme="minorHAnsi"/>
        </w:rPr>
        <w:t>enetime hazır bulundurmak,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 xml:space="preserve">Gerekli bilgi ve </w:t>
      </w:r>
      <w:r w:rsidR="00B173B5" w:rsidRPr="00AC727D">
        <w:rPr>
          <w:rFonts w:cstheme="minorHAnsi"/>
        </w:rPr>
        <w:t xml:space="preserve">raporları </w:t>
      </w:r>
      <w:r w:rsidR="00B173B5">
        <w:rPr>
          <w:rFonts w:cstheme="minorHAnsi"/>
        </w:rPr>
        <w:t>Sayıştay’a</w:t>
      </w:r>
      <w:r w:rsidRPr="00AC727D">
        <w:rPr>
          <w:rFonts w:cstheme="minorHAnsi"/>
        </w:rPr>
        <w:t xml:space="preserve">, Maliye Bakanlığı'na, Başkana mevzuatta belirlenen </w:t>
      </w:r>
      <w:r w:rsidR="00245183">
        <w:rPr>
          <w:rFonts w:cstheme="minorHAnsi"/>
        </w:rPr>
        <w:t>sürelerde düzenli olarak vermek,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Mali raporları Devlet Muhasebesi Standartları Kurulu tarafından belirlenecek standartlara, mali işlemlerin muhasebeleştirilmesi ve raporlanmasında izlenecek yöntem ve ilkeleri muhasebe yönetmeliklerine ve muhasebe kayıtlarına uygun olarak düzenlemek ve mevzuatında belirlenen sürel</w:t>
      </w:r>
      <w:r w:rsidR="00245183">
        <w:rPr>
          <w:rFonts w:cstheme="minorHAnsi"/>
        </w:rPr>
        <w:t>erde ilgili mercilere göndermek,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Maliye Bakanlığınca yayımlanan Kamu İdarelerinin Kesin Hesapların Düzenlenmesine İlişkin Usul ve Esaslar Hakkında Yönetmelik hükümleri doğrultusunda Kesin Hesabın kontrol ve onay işlemlerini takip etmeye ve sonuçlandır</w:t>
      </w:r>
      <w:r w:rsidR="00245183">
        <w:rPr>
          <w:rFonts w:cstheme="minorHAnsi"/>
        </w:rPr>
        <w:t>maya ilişkin çalışmaları yapmak,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 xml:space="preserve">Bütçe uygulama sonuçları dikkate alınarak, Maliye Bakanlığınca belirlenen Usul ve Esaslar çerçevesinde muhasebe kayıtlarını dikkate alarak </w:t>
      </w:r>
      <w:r w:rsidR="00245183">
        <w:rPr>
          <w:rFonts w:cstheme="minorHAnsi"/>
        </w:rPr>
        <w:t>bütçe kesin hesabını hazırlamak,</w:t>
      </w:r>
    </w:p>
    <w:p w:rsidR="00AC727D" w:rsidRP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Harcama birimlerince hazırlanan harcama birimi taşınır yönetim hesabı cetvellerini inceleyip onaylay</w:t>
      </w:r>
      <w:r w:rsidR="00245183">
        <w:rPr>
          <w:rFonts w:cstheme="minorHAnsi"/>
        </w:rPr>
        <w:t>arak harcama birimlerine vermek,</w:t>
      </w:r>
    </w:p>
    <w:p w:rsid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AC727D">
        <w:rPr>
          <w:rFonts w:cstheme="minorHAnsi"/>
        </w:rPr>
        <w:t>Hazine Yardımları ve buna bağlı yapılacak giderlerin kayıtlarını tutmak ve izlemek.</w:t>
      </w:r>
    </w:p>
    <w:p w:rsidR="00B63A33" w:rsidRDefault="00B63A33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Maliye Bakanlığınca belirlenen Usul ve Esaslar Çerçevesinde Üniversite Bü</w:t>
      </w:r>
      <w:r w:rsidR="00492E58">
        <w:rPr>
          <w:rFonts w:cstheme="minorHAnsi"/>
        </w:rPr>
        <w:t>tçe kesin hesabını hazırlamak,</w:t>
      </w:r>
      <w:r>
        <w:rPr>
          <w:rFonts w:cstheme="minorHAnsi"/>
        </w:rPr>
        <w:t xml:space="preserve"> </w:t>
      </w:r>
    </w:p>
    <w:p w:rsidR="00745470" w:rsidRDefault="00745470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İç ve dış denetimlerde denetçilerin talep ett</w:t>
      </w:r>
      <w:r w:rsidR="000B240D">
        <w:rPr>
          <w:rFonts w:cstheme="minorHAnsi"/>
        </w:rPr>
        <w:t xml:space="preserve">iği bilgi ve belgeleri </w:t>
      </w:r>
      <w:r w:rsidR="00245183">
        <w:rPr>
          <w:rFonts w:cstheme="minorHAnsi"/>
        </w:rPr>
        <w:t>sağlamak,</w:t>
      </w:r>
    </w:p>
    <w:p w:rsidR="00B63A33" w:rsidRDefault="00B63A33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 w:rsidRPr="00553A47">
        <w:rPr>
          <w:rFonts w:cstheme="minorHAnsi"/>
        </w:rPr>
        <w:t xml:space="preserve">Kesin hesap </w:t>
      </w:r>
      <w:r w:rsidR="00745470">
        <w:rPr>
          <w:rFonts w:cstheme="minorHAnsi"/>
        </w:rPr>
        <w:t xml:space="preserve">çalışmalarını yapmak, sonuçlandırmak ve ilgili </w:t>
      </w:r>
      <w:proofErr w:type="gramStart"/>
      <w:r w:rsidR="00745470">
        <w:rPr>
          <w:rFonts w:cstheme="minorHAnsi"/>
        </w:rPr>
        <w:t>kur</w:t>
      </w:r>
      <w:r w:rsidR="00245183">
        <w:rPr>
          <w:rFonts w:cstheme="minorHAnsi"/>
        </w:rPr>
        <w:t>umlara  gönderilmesini</w:t>
      </w:r>
      <w:proofErr w:type="gramEnd"/>
      <w:r w:rsidR="00245183">
        <w:rPr>
          <w:rFonts w:cstheme="minorHAnsi"/>
        </w:rPr>
        <w:t xml:space="preserve"> sağlamak,</w:t>
      </w:r>
    </w:p>
    <w:p w:rsidR="000B240D" w:rsidRDefault="00C95283" w:rsidP="000B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cstheme="minorHAnsi"/>
        </w:rPr>
      </w:pPr>
      <w:r>
        <w:rPr>
          <w:rFonts w:cstheme="minorHAnsi"/>
        </w:rPr>
        <w:t>İh</w:t>
      </w:r>
      <w:r w:rsidR="00245183">
        <w:rPr>
          <w:rFonts w:cstheme="minorHAnsi"/>
        </w:rPr>
        <w:t>ale komisyonlarında görev almak,</w:t>
      </w:r>
    </w:p>
    <w:p w:rsidR="003433D1" w:rsidRPr="003433D1" w:rsidRDefault="003433D1" w:rsidP="000B2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rPr>
          <w:rFonts w:cstheme="minorHAnsi"/>
        </w:rPr>
        <w:lastRenderedPageBreak/>
        <w:t>Daire Başkanının ve</w:t>
      </w:r>
      <w:r w:rsidR="00245183">
        <w:rPr>
          <w:rFonts w:cstheme="minorHAnsi"/>
        </w:rPr>
        <w:t>receği benzeri görevleri yapmaktır.</w:t>
      </w:r>
    </w:p>
    <w:p w:rsidR="00435B3B" w:rsidRPr="001D29CD" w:rsidRDefault="00435B3B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cstheme="minorHAnsi"/>
          <w:b/>
          <w:sz w:val="24"/>
          <w:szCs w:val="24"/>
        </w:rPr>
      </w:pPr>
      <w:r w:rsidRPr="001D29CD">
        <w:rPr>
          <w:rFonts w:cstheme="minorHAnsi"/>
          <w:b/>
          <w:sz w:val="24"/>
          <w:szCs w:val="24"/>
        </w:rPr>
        <w:t>SORUMLULUKLAR</w:t>
      </w:r>
    </w:p>
    <w:p w:rsidR="00373794" w:rsidRDefault="00373794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373794">
        <w:t xml:space="preserve">Etik kurallara uygun davranışlarda bulunmak,  </w:t>
      </w:r>
      <w:r w:rsidR="00245183">
        <w:t>görevlerini yerine getirmek,</w:t>
      </w:r>
    </w:p>
    <w:p w:rsid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 w:rsidRPr="00105BB6">
        <w:t xml:space="preserve">Mevzuatı takip etmek, değişiklikler hakkında Başkanlığa bilgi vererek ilgili </w:t>
      </w:r>
      <w:r w:rsidR="00245183">
        <w:t>iş ve işlemleri yerine getirmek,</w:t>
      </w:r>
    </w:p>
    <w:p w:rsidR="00AC727D" w:rsidRDefault="00AC727D" w:rsidP="00394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</w:pPr>
      <w:r>
        <w:t>Görevi ile ilgili tüm faaliyetlerini mevcut iç kontrol sisteminin tanım ve düzenlemelerine uygun olarak yürütülmesini</w:t>
      </w:r>
      <w:r w:rsidR="00245183">
        <w:t xml:space="preserve"> sağlamak,</w:t>
      </w:r>
    </w:p>
    <w:p w:rsidR="00460029" w:rsidRDefault="00460029" w:rsidP="00343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</w:pPr>
      <w:r>
        <w:t>Yapacağı iş ve işlemleri,  şeffaflık, hesap verebilirlik ve katılımcılık anlayışı içerisinde ve kamu kaynaklarını verimli kulla</w:t>
      </w:r>
      <w:r w:rsidR="00245183">
        <w:t>nılacak biçimde yerine getirmektir.</w:t>
      </w:r>
    </w:p>
    <w:p w:rsidR="00AC727D" w:rsidRDefault="00AC727D" w:rsidP="00343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D29CD">
        <w:rPr>
          <w:b/>
          <w:sz w:val="24"/>
          <w:szCs w:val="24"/>
        </w:rPr>
        <w:t>İŞ ÇIKTISI:</w:t>
      </w:r>
      <w:r>
        <w:t xml:space="preserve"> </w:t>
      </w:r>
      <w:r w:rsidRPr="00594B7D">
        <w:t xml:space="preserve">Sorumlulukları içerisinde yapılan iş ve işlemlere ilişkin sunulmaya hazır, kontrol edilmiş ve paraflanmış her türlü yazı, </w:t>
      </w:r>
      <w:r>
        <w:t>liste, onay, form, rapor, dosya vb.</w:t>
      </w:r>
    </w:p>
    <w:p w:rsidR="00AC727D" w:rsidRDefault="00AC727D" w:rsidP="00343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D29CD">
        <w:rPr>
          <w:b/>
          <w:sz w:val="24"/>
          <w:szCs w:val="24"/>
        </w:rPr>
        <w:t>İLETİŞİM İÇERİSİNDE OLUNAN BİRİMLER:</w:t>
      </w:r>
      <w:r>
        <w:t xml:space="preserve"> </w:t>
      </w:r>
      <w:r w:rsidR="00E51505">
        <w:t>Üniversite</w:t>
      </w:r>
      <w:r w:rsidR="00A47165" w:rsidRPr="00A47165">
        <w:t xml:space="preserve"> tüm harcama birimleri, Üniversiteler, </w:t>
      </w:r>
      <w:r w:rsidR="003011FD">
        <w:t xml:space="preserve">Maliye Bakanlığı, Sayıştay, </w:t>
      </w:r>
      <w:r w:rsidR="00A47165" w:rsidRPr="00A47165">
        <w:t>TÜBİTAK,</w:t>
      </w:r>
      <w:r w:rsidR="003011FD">
        <w:t xml:space="preserve"> </w:t>
      </w:r>
      <w:r w:rsidR="00595F7A" w:rsidRPr="00595F7A">
        <w:t xml:space="preserve"> Vergi Dairesi </w:t>
      </w:r>
      <w:r w:rsidR="00595F7A">
        <w:t xml:space="preserve">SGK ve </w:t>
      </w:r>
      <w:r w:rsidR="003011FD">
        <w:t>D</w:t>
      </w:r>
      <w:r w:rsidR="00A47165" w:rsidRPr="00A47165">
        <w:t>iğer Kamu İdareleri, Bankalar</w:t>
      </w:r>
      <w:r w:rsidR="003011FD"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97"/>
        <w:gridCol w:w="3343"/>
        <w:gridCol w:w="3048"/>
      </w:tblGrid>
      <w:tr w:rsidR="00AC727D" w:rsidTr="00AC27D1">
        <w:tc>
          <w:tcPr>
            <w:tcW w:w="9288" w:type="dxa"/>
            <w:gridSpan w:val="3"/>
          </w:tcPr>
          <w:p w:rsidR="00AC727D" w:rsidRPr="001D29CD" w:rsidRDefault="001D29CD" w:rsidP="003433D1">
            <w:pPr>
              <w:rPr>
                <w:b/>
                <w:sz w:val="24"/>
                <w:szCs w:val="24"/>
              </w:rPr>
            </w:pPr>
            <w:r w:rsidRPr="001D29CD">
              <w:rPr>
                <w:b/>
                <w:sz w:val="24"/>
                <w:szCs w:val="24"/>
              </w:rPr>
              <w:t>YETKİNLİKLER</w:t>
            </w:r>
          </w:p>
        </w:tc>
      </w:tr>
      <w:tr w:rsidR="00AC727D" w:rsidTr="00AC27D1">
        <w:tc>
          <w:tcPr>
            <w:tcW w:w="9288" w:type="dxa"/>
            <w:gridSpan w:val="3"/>
          </w:tcPr>
          <w:p w:rsidR="00AC727D" w:rsidRDefault="00AC727D" w:rsidP="003433D1">
            <w:pPr>
              <w:tabs>
                <w:tab w:val="left" w:pos="3690"/>
              </w:tabs>
            </w:pPr>
            <w:r w:rsidRPr="002176FB">
              <w:rPr>
                <w:b/>
              </w:rPr>
              <w:t>TEMEL</w:t>
            </w:r>
            <w:r>
              <w:tab/>
            </w:r>
            <w:r>
              <w:rPr>
                <w:b/>
              </w:rPr>
              <w:t xml:space="preserve">    </w:t>
            </w:r>
            <w:r w:rsidRPr="002176FB">
              <w:rPr>
                <w:b/>
              </w:rPr>
              <w:t xml:space="preserve">  TEKNİK                                                     </w:t>
            </w:r>
            <w:r>
              <w:rPr>
                <w:b/>
              </w:rPr>
              <w:t xml:space="preserve"> </w:t>
            </w:r>
            <w:r w:rsidRPr="002176FB">
              <w:rPr>
                <w:b/>
              </w:rPr>
              <w:t xml:space="preserve"> YÖNETSEL</w:t>
            </w:r>
          </w:p>
        </w:tc>
      </w:tr>
      <w:tr w:rsidR="007D05AD" w:rsidTr="00AC27D1">
        <w:trPr>
          <w:trHeight w:val="1618"/>
        </w:trPr>
        <w:tc>
          <w:tcPr>
            <w:tcW w:w="2897" w:type="dxa"/>
          </w:tcPr>
          <w:p w:rsidR="004C1283" w:rsidRDefault="002320D6" w:rsidP="003433D1">
            <w:r>
              <w:t>Başarı ve ç</w:t>
            </w:r>
            <w:r w:rsidR="004C1283">
              <w:t xml:space="preserve">aba </w:t>
            </w:r>
          </w:p>
          <w:p w:rsidR="004C1283" w:rsidRDefault="002320D6" w:rsidP="003433D1">
            <w:r>
              <w:t>Detaylara önem v</w:t>
            </w:r>
            <w:r w:rsidR="004C1283">
              <w:t>erme</w:t>
            </w:r>
          </w:p>
          <w:p w:rsidR="004C1283" w:rsidRDefault="002320D6" w:rsidP="003433D1">
            <w:r>
              <w:t>Gelişime ve değişime y</w:t>
            </w:r>
            <w:r w:rsidR="004C1283">
              <w:t>atkınlık</w:t>
            </w:r>
          </w:p>
          <w:p w:rsidR="004C1283" w:rsidRDefault="002320D6" w:rsidP="003433D1">
            <w:r>
              <w:t>İletişim ve ilişki k</w:t>
            </w:r>
            <w:r w:rsidR="004C1283">
              <w:t xml:space="preserve">urma </w:t>
            </w:r>
          </w:p>
          <w:p w:rsidR="004C1283" w:rsidRDefault="002320D6" w:rsidP="003433D1">
            <w:r>
              <w:t>İş ahlakı ve g</w:t>
            </w:r>
            <w:r w:rsidR="004C1283">
              <w:t>üvenilirlik</w:t>
            </w:r>
          </w:p>
          <w:p w:rsidR="004C1283" w:rsidRDefault="002320D6" w:rsidP="003433D1">
            <w:r>
              <w:t>Problem ç</w:t>
            </w:r>
            <w:r w:rsidR="004C1283">
              <w:t xml:space="preserve">özme </w:t>
            </w:r>
          </w:p>
          <w:p w:rsidR="00AC727D" w:rsidRDefault="002320D6" w:rsidP="003433D1">
            <w:r>
              <w:t>Sonuç o</w:t>
            </w:r>
            <w:r w:rsidR="004C1283">
              <w:t>daklılık</w:t>
            </w:r>
            <w:r w:rsidR="007D05AD">
              <w:br/>
              <w:t>Tedbirlilik</w:t>
            </w:r>
          </w:p>
        </w:tc>
        <w:tc>
          <w:tcPr>
            <w:tcW w:w="3343" w:type="dxa"/>
          </w:tcPr>
          <w:p w:rsidR="004C1283" w:rsidRDefault="002320D6" w:rsidP="003433D1">
            <w:r>
              <w:t>Kamu mali yönetim b</w:t>
            </w:r>
            <w:r w:rsidR="004C1283">
              <w:t>ilgisi</w:t>
            </w:r>
          </w:p>
          <w:p w:rsidR="00433A35" w:rsidRDefault="002320D6" w:rsidP="003433D1">
            <w:r>
              <w:t>Muhasebe mevzuatı b</w:t>
            </w:r>
            <w:r w:rsidR="004C1283">
              <w:t>ilgisi</w:t>
            </w:r>
          </w:p>
          <w:p w:rsidR="004C1283" w:rsidRDefault="002320D6" w:rsidP="003433D1">
            <w:r>
              <w:t>İhale m</w:t>
            </w:r>
            <w:r w:rsidR="00433A35">
              <w:t xml:space="preserve">evzuatı </w:t>
            </w:r>
            <w:r>
              <w:t>b</w:t>
            </w:r>
            <w:r w:rsidR="00433A35">
              <w:t>ilgisi</w:t>
            </w:r>
            <w:r>
              <w:br/>
              <w:t>İşlem gerçekleştirme ve k</w:t>
            </w:r>
            <w:r w:rsidR="007D05AD">
              <w:t>ontrol</w:t>
            </w:r>
            <w:r w:rsidR="007D05AD">
              <w:br/>
            </w:r>
            <w:r w:rsidR="00FF38BE">
              <w:t xml:space="preserve">MYS, </w:t>
            </w:r>
            <w:r>
              <w:t xml:space="preserve"> KS, HYS vb. y</w:t>
            </w:r>
            <w:r w:rsidR="004C1283">
              <w:t xml:space="preserve">önetim </w:t>
            </w:r>
            <w:r>
              <w:t>bilgi sistemi k</w:t>
            </w:r>
            <w:r w:rsidR="004C1283">
              <w:t>ullanımı</w:t>
            </w:r>
          </w:p>
          <w:p w:rsidR="004C1283" w:rsidRDefault="002320D6" w:rsidP="003433D1">
            <w:r>
              <w:t>İzleme, değerlendirme ve r</w:t>
            </w:r>
            <w:r w:rsidR="004C1283">
              <w:t xml:space="preserve">aporlama </w:t>
            </w:r>
          </w:p>
          <w:p w:rsidR="00B165FF" w:rsidRDefault="00B165FF" w:rsidP="003433D1">
            <w:r>
              <w:t xml:space="preserve">Nakit </w:t>
            </w:r>
            <w:r w:rsidR="002320D6">
              <w:t>akış a</w:t>
            </w:r>
            <w:r>
              <w:t>nalizi</w:t>
            </w:r>
          </w:p>
          <w:p w:rsidR="004C1283" w:rsidRDefault="004C1283" w:rsidP="003433D1">
            <w:r>
              <w:t>Mali</w:t>
            </w:r>
            <w:r w:rsidR="002320D6">
              <w:t xml:space="preserve"> ve f</w:t>
            </w:r>
            <w:r w:rsidR="00837148">
              <w:t xml:space="preserve">inansal </w:t>
            </w:r>
            <w:r w:rsidR="002320D6">
              <w:t>a</w:t>
            </w:r>
            <w:r>
              <w:t>naliz</w:t>
            </w:r>
          </w:p>
          <w:p w:rsidR="004C1283" w:rsidRDefault="002320D6" w:rsidP="003433D1">
            <w:r>
              <w:t>Kontrol ve d</w:t>
            </w:r>
            <w:r w:rsidR="007D05AD">
              <w:t>enetim</w:t>
            </w:r>
            <w:r w:rsidR="007D05AD">
              <w:br/>
              <w:t>Rapor hazırlama</w:t>
            </w:r>
            <w:r w:rsidR="007D05AD">
              <w:br/>
            </w:r>
            <w:r>
              <w:t>Microsoft Office k</w:t>
            </w:r>
            <w:r w:rsidR="004C1283">
              <w:t>ullanımı</w:t>
            </w:r>
          </w:p>
          <w:p w:rsidR="004C1283" w:rsidRDefault="002320D6" w:rsidP="003433D1">
            <w:r>
              <w:t>Resmi yazışma ve d</w:t>
            </w:r>
            <w:r w:rsidR="004C1283">
              <w:t xml:space="preserve">osyalama </w:t>
            </w:r>
          </w:p>
          <w:p w:rsidR="004C1283" w:rsidRDefault="004C1283" w:rsidP="003433D1"/>
        </w:tc>
        <w:tc>
          <w:tcPr>
            <w:tcW w:w="3048" w:type="dxa"/>
          </w:tcPr>
          <w:p w:rsidR="00837148" w:rsidRDefault="00837148" w:rsidP="003433D1">
            <w:r>
              <w:t>Analitik Düşünme</w:t>
            </w:r>
          </w:p>
          <w:p w:rsidR="00837148" w:rsidRDefault="00837148" w:rsidP="003433D1">
            <w:r>
              <w:t>Kontrol</w:t>
            </w:r>
          </w:p>
          <w:p w:rsidR="00837148" w:rsidRDefault="002320D6" w:rsidP="003433D1">
            <w:r>
              <w:t>Öğrenme ortamı o</w:t>
            </w:r>
            <w:r w:rsidR="00837148">
              <w:t>luşturma</w:t>
            </w:r>
          </w:p>
          <w:p w:rsidR="00AC727D" w:rsidRDefault="007D05AD" w:rsidP="003433D1">
            <w:r>
              <w:t>Çalışanları yönlendirme ve motive etme</w:t>
            </w:r>
            <w:r>
              <w:br/>
              <w:t>Planlama ve organize etme</w:t>
            </w:r>
            <w:r>
              <w:br/>
              <w:t>Yönetsel liderlik</w:t>
            </w:r>
            <w:r>
              <w:br/>
              <w:t>İş</w:t>
            </w:r>
            <w:r w:rsidR="002320D6">
              <w:t xml:space="preserve"> </w:t>
            </w:r>
            <w:proofErr w:type="spellStart"/>
            <w:r w:rsidR="002320D6">
              <w:t>ö</w:t>
            </w:r>
            <w:r>
              <w:t>nceliklendirme</w:t>
            </w:r>
            <w:proofErr w:type="spellEnd"/>
            <w:r w:rsidR="008F2D55">
              <w:br/>
              <w:t>Etkili karar verme</w:t>
            </w:r>
            <w:r w:rsidR="001F2B7E">
              <w:br/>
            </w:r>
            <w:r w:rsidR="001F2B7E" w:rsidRPr="001F2B7E">
              <w:t>Güncel gelişmeleri takip etme</w:t>
            </w:r>
            <w:r w:rsidR="004C1283">
              <w:t xml:space="preserve"> Sistematik iş planlama</w:t>
            </w:r>
          </w:p>
        </w:tc>
      </w:tr>
    </w:tbl>
    <w:p w:rsidR="004C1283" w:rsidRDefault="004C1283" w:rsidP="00A92CEE"/>
    <w:p w:rsidR="0044635F" w:rsidRDefault="0044635F" w:rsidP="00A92CEE">
      <w:r>
        <w:t>Görev Tanımını</w:t>
      </w:r>
    </w:p>
    <w:p w:rsidR="00A016DD" w:rsidRDefault="00A016DD" w:rsidP="00A016DD">
      <w:proofErr w:type="gramStart"/>
      <w:r>
        <w:t>Hazırlayan : Mali</w:t>
      </w:r>
      <w:proofErr w:type="gramEnd"/>
      <w:r>
        <w:t xml:space="preserve"> Hizmetler Uzman Yardımcısı  Taner TURAN              </w:t>
      </w:r>
      <w:r>
        <w:tab/>
      </w:r>
      <w:r>
        <w:tab/>
        <w:t xml:space="preserve">    İmza :                                                                                                                                                          </w:t>
      </w:r>
    </w:p>
    <w:p w:rsidR="00A016DD" w:rsidRDefault="00A016DD" w:rsidP="00A016DD">
      <w:pPr>
        <w:tabs>
          <w:tab w:val="left" w:pos="7088"/>
        </w:tabs>
      </w:pPr>
      <w:proofErr w:type="gramStart"/>
      <w:r>
        <w:t>Onaylayan : Daire</w:t>
      </w:r>
      <w:proofErr w:type="gramEnd"/>
      <w:r>
        <w:t xml:space="preserve"> Başkanı Şerafettin KÖSE                                                                       İmza :                                                 </w:t>
      </w:r>
    </w:p>
    <w:p w:rsidR="0044635F" w:rsidRDefault="0044635F" w:rsidP="00A92CEE">
      <w:r>
        <w:t xml:space="preserve">Görevli </w:t>
      </w:r>
      <w:r w:rsidR="002320D6">
        <w:t>P</w:t>
      </w:r>
      <w:r w:rsidR="00B173B5">
        <w:t xml:space="preserve">ersonel: </w:t>
      </w:r>
      <w:r w:rsidR="00FF38BE">
        <w:t xml:space="preserve">Şube Müdürü Mustafa AYDIN                         </w:t>
      </w:r>
      <w:r w:rsidR="006C6D0C">
        <w:t xml:space="preserve"> </w:t>
      </w:r>
      <w:r w:rsidR="0029024F">
        <w:t xml:space="preserve"> </w:t>
      </w:r>
      <w:r w:rsidR="00A016DD">
        <w:t xml:space="preserve">                                  </w:t>
      </w:r>
      <w:r w:rsidR="006C6D0C">
        <w:t xml:space="preserve"> </w:t>
      </w:r>
      <w:r w:rsidR="002320D6">
        <w:t>İ</w:t>
      </w:r>
      <w:r w:rsidR="001D29CD">
        <w:t xml:space="preserve">mza </w:t>
      </w:r>
      <w:r>
        <w:t xml:space="preserve">:                                     </w:t>
      </w:r>
      <w:bookmarkStart w:id="0" w:name="_GoBack"/>
      <w:bookmarkEnd w:id="0"/>
    </w:p>
    <w:sectPr w:rsidR="0044635F" w:rsidSect="00D95DC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C6" w:rsidRDefault="009976C6" w:rsidP="00D95DCB">
      <w:pPr>
        <w:spacing w:after="0" w:line="240" w:lineRule="auto"/>
      </w:pPr>
      <w:r>
        <w:separator/>
      </w:r>
    </w:p>
  </w:endnote>
  <w:endnote w:type="continuationSeparator" w:id="0">
    <w:p w:rsidR="009976C6" w:rsidRDefault="009976C6" w:rsidP="00D95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C6" w:rsidRDefault="009976C6" w:rsidP="00D95DCB">
      <w:pPr>
        <w:spacing w:after="0" w:line="240" w:lineRule="auto"/>
      </w:pPr>
      <w:r>
        <w:separator/>
      </w:r>
    </w:p>
  </w:footnote>
  <w:footnote w:type="continuationSeparator" w:id="0">
    <w:p w:rsidR="009976C6" w:rsidRDefault="009976C6" w:rsidP="00D95D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09E3"/>
    <w:rsid w:val="00066FD0"/>
    <w:rsid w:val="00093821"/>
    <w:rsid w:val="000B240D"/>
    <w:rsid w:val="00197C0E"/>
    <w:rsid w:val="001D29CD"/>
    <w:rsid w:val="001D47A6"/>
    <w:rsid w:val="001E75CB"/>
    <w:rsid w:val="001F2B7E"/>
    <w:rsid w:val="001F3279"/>
    <w:rsid w:val="00220380"/>
    <w:rsid w:val="002320D6"/>
    <w:rsid w:val="00245183"/>
    <w:rsid w:val="0026647E"/>
    <w:rsid w:val="0029024F"/>
    <w:rsid w:val="003011FD"/>
    <w:rsid w:val="00312A76"/>
    <w:rsid w:val="003162D7"/>
    <w:rsid w:val="003433D1"/>
    <w:rsid w:val="00373794"/>
    <w:rsid w:val="00394564"/>
    <w:rsid w:val="003C5FC1"/>
    <w:rsid w:val="003D6A0A"/>
    <w:rsid w:val="003F0A29"/>
    <w:rsid w:val="003F2158"/>
    <w:rsid w:val="00433A35"/>
    <w:rsid w:val="00435B3B"/>
    <w:rsid w:val="0044635F"/>
    <w:rsid w:val="00460029"/>
    <w:rsid w:val="00477037"/>
    <w:rsid w:val="00492E58"/>
    <w:rsid w:val="004C1283"/>
    <w:rsid w:val="00567452"/>
    <w:rsid w:val="005926E1"/>
    <w:rsid w:val="00595F7A"/>
    <w:rsid w:val="005D7494"/>
    <w:rsid w:val="00612BD8"/>
    <w:rsid w:val="00617E4B"/>
    <w:rsid w:val="00657124"/>
    <w:rsid w:val="00667204"/>
    <w:rsid w:val="006C256D"/>
    <w:rsid w:val="006C6D0C"/>
    <w:rsid w:val="00700E9B"/>
    <w:rsid w:val="00745470"/>
    <w:rsid w:val="00773E25"/>
    <w:rsid w:val="00785B81"/>
    <w:rsid w:val="00786A4C"/>
    <w:rsid w:val="00786D35"/>
    <w:rsid w:val="00791907"/>
    <w:rsid w:val="007D05AD"/>
    <w:rsid w:val="007D0A30"/>
    <w:rsid w:val="008109E3"/>
    <w:rsid w:val="008136CB"/>
    <w:rsid w:val="00837148"/>
    <w:rsid w:val="008A767F"/>
    <w:rsid w:val="008F2D55"/>
    <w:rsid w:val="00911590"/>
    <w:rsid w:val="00992976"/>
    <w:rsid w:val="009976C6"/>
    <w:rsid w:val="009E3434"/>
    <w:rsid w:val="009E3738"/>
    <w:rsid w:val="009F3C97"/>
    <w:rsid w:val="00A016DD"/>
    <w:rsid w:val="00A07884"/>
    <w:rsid w:val="00A47165"/>
    <w:rsid w:val="00A53127"/>
    <w:rsid w:val="00A92CEE"/>
    <w:rsid w:val="00AA2E9C"/>
    <w:rsid w:val="00AC27D1"/>
    <w:rsid w:val="00AC727D"/>
    <w:rsid w:val="00AF24CD"/>
    <w:rsid w:val="00B13D51"/>
    <w:rsid w:val="00B165FF"/>
    <w:rsid w:val="00B173B5"/>
    <w:rsid w:val="00B17754"/>
    <w:rsid w:val="00B63A33"/>
    <w:rsid w:val="00B73B50"/>
    <w:rsid w:val="00BE353A"/>
    <w:rsid w:val="00C03766"/>
    <w:rsid w:val="00C20916"/>
    <w:rsid w:val="00C374E6"/>
    <w:rsid w:val="00C95283"/>
    <w:rsid w:val="00D35A46"/>
    <w:rsid w:val="00D67F1C"/>
    <w:rsid w:val="00D739AB"/>
    <w:rsid w:val="00D811CE"/>
    <w:rsid w:val="00D95DCB"/>
    <w:rsid w:val="00DD6A03"/>
    <w:rsid w:val="00E51505"/>
    <w:rsid w:val="00E75DED"/>
    <w:rsid w:val="00EF38BB"/>
    <w:rsid w:val="00F31C79"/>
    <w:rsid w:val="00F350D7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27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C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36CB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D9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95DCB"/>
  </w:style>
  <w:style w:type="paragraph" w:styleId="Altbilgi">
    <w:name w:val="footer"/>
    <w:basedOn w:val="Normal"/>
    <w:link w:val="AltbilgiChar"/>
    <w:uiPriority w:val="99"/>
    <w:unhideWhenUsed/>
    <w:rsid w:val="00D95D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95DCB"/>
  </w:style>
  <w:style w:type="paragraph" w:styleId="BalonMetni">
    <w:name w:val="Balloon Text"/>
    <w:basedOn w:val="Normal"/>
    <w:link w:val="BalonMetniChar"/>
    <w:uiPriority w:val="99"/>
    <w:semiHidden/>
    <w:unhideWhenUsed/>
    <w:rsid w:val="005D7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749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A767F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A76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1669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User</cp:lastModifiedBy>
  <cp:revision>84</cp:revision>
  <cp:lastPrinted>2014-01-15T14:41:00Z</cp:lastPrinted>
  <dcterms:created xsi:type="dcterms:W3CDTF">2013-02-28T12:52:00Z</dcterms:created>
  <dcterms:modified xsi:type="dcterms:W3CDTF">2019-03-20T11:44:00Z</dcterms:modified>
</cp:coreProperties>
</file>