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805"/>
        <w:tblW w:w="9365" w:type="dxa"/>
        <w:tblLayout w:type="fixed"/>
        <w:tblLook w:val="04A0" w:firstRow="1" w:lastRow="0" w:firstColumn="1" w:lastColumn="0" w:noHBand="0" w:noVBand="1"/>
      </w:tblPr>
      <w:tblGrid>
        <w:gridCol w:w="2208"/>
        <w:gridCol w:w="4137"/>
        <w:gridCol w:w="3020"/>
      </w:tblGrid>
      <w:tr w:rsidR="003F6A2C" w:rsidTr="000542B2">
        <w:trPr>
          <w:trHeight w:val="1550"/>
        </w:trPr>
        <w:tc>
          <w:tcPr>
            <w:tcW w:w="2208" w:type="dxa"/>
          </w:tcPr>
          <w:p w:rsidR="003F6A2C" w:rsidRDefault="008D1A3A" w:rsidP="008D1A3A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3F6A2C" w:rsidRDefault="003F6A2C" w:rsidP="003F6A2C">
            <w:pPr>
              <w:jc w:val="center"/>
              <w:rPr>
                <w:b/>
              </w:rPr>
            </w:pPr>
          </w:p>
          <w:p w:rsidR="003F6A2C" w:rsidRPr="003F795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3F6A2C" w:rsidRPr="003F795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STRATEJİ GELİŞTİRME DAİRE BAŞKANLIĞI</w:t>
            </w:r>
          </w:p>
          <w:p w:rsidR="003F6A2C" w:rsidRDefault="003F6A2C" w:rsidP="003F6A2C"/>
        </w:tc>
        <w:tc>
          <w:tcPr>
            <w:tcW w:w="3020" w:type="dxa"/>
          </w:tcPr>
          <w:p w:rsidR="003F6A2C" w:rsidRDefault="003F6A2C" w:rsidP="003F6A2C">
            <w:r>
              <w:t xml:space="preserve">Doküman </w:t>
            </w:r>
            <w:proofErr w:type="gramStart"/>
            <w:r>
              <w:t>No :</w:t>
            </w:r>
            <w:r w:rsidR="009134A9">
              <w:t xml:space="preserve"> </w:t>
            </w:r>
            <w:r w:rsidR="0082072D">
              <w:t>SGDB</w:t>
            </w:r>
            <w:proofErr w:type="gramEnd"/>
            <w:r w:rsidR="0082072D">
              <w:t>.</w:t>
            </w:r>
            <w:r w:rsidR="001D6A51">
              <w:t>GT.</w:t>
            </w:r>
            <w:r w:rsidR="0082072D">
              <w:t>İK.3</w:t>
            </w:r>
          </w:p>
          <w:p w:rsidR="003F6A2C" w:rsidRDefault="003F6A2C" w:rsidP="003F6A2C">
            <w:r>
              <w:t xml:space="preserve">İlk Yayın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r>
              <w:t xml:space="preserve">Revizyon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pPr>
              <w:ind w:right="-108"/>
            </w:pPr>
            <w:r>
              <w:t xml:space="preserve">Revizyon </w:t>
            </w:r>
            <w:proofErr w:type="gramStart"/>
            <w:r>
              <w:t>No :</w:t>
            </w:r>
            <w:proofErr w:type="gramEnd"/>
          </w:p>
          <w:p w:rsidR="003F6A2C" w:rsidRDefault="003F6A2C" w:rsidP="003F6A2C">
            <w:proofErr w:type="gramStart"/>
            <w:r>
              <w:t>Sayfa :</w:t>
            </w:r>
            <w:proofErr w:type="gramEnd"/>
          </w:p>
        </w:tc>
      </w:tr>
    </w:tbl>
    <w:p w:rsidR="008D2B83" w:rsidRDefault="008D2B83"/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F7957">
        <w:rPr>
          <w:b/>
          <w:sz w:val="28"/>
          <w:szCs w:val="28"/>
        </w:rPr>
        <w:t>GÖREV TANIM FORMU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BİRİMİ: </w:t>
      </w:r>
      <w:r w:rsidR="00B81B72" w:rsidRPr="003F7957">
        <w:rPr>
          <w:b/>
          <w:sz w:val="24"/>
          <w:szCs w:val="24"/>
        </w:rPr>
        <w:t>STRATEJİ GELİŞTİRME DAİRE BAŞKANLIĞI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ALT BİRİM: </w:t>
      </w:r>
      <w:r w:rsidR="009134A9">
        <w:rPr>
          <w:b/>
          <w:sz w:val="24"/>
          <w:szCs w:val="24"/>
        </w:rPr>
        <w:t>İÇ KONTROL VE</w:t>
      </w:r>
      <w:r w:rsidR="009E68E2" w:rsidRPr="003F7957">
        <w:rPr>
          <w:b/>
          <w:sz w:val="24"/>
          <w:szCs w:val="24"/>
        </w:rPr>
        <w:t xml:space="preserve"> ÖN MALİ KONTROL ŞUBE MÜDÜRLÜĞÜ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GÖREV ADI: </w:t>
      </w:r>
      <w:r w:rsidR="00EF2C8A">
        <w:rPr>
          <w:b/>
          <w:sz w:val="24"/>
          <w:szCs w:val="24"/>
        </w:rPr>
        <w:t>EK DERS KONTROL</w:t>
      </w:r>
      <w:r w:rsidR="009E68E2" w:rsidRPr="003F7957">
        <w:rPr>
          <w:b/>
          <w:sz w:val="24"/>
          <w:szCs w:val="24"/>
        </w:rPr>
        <w:t xml:space="preserve"> </w:t>
      </w:r>
      <w:r w:rsidR="00B81B72" w:rsidRPr="003F7957">
        <w:rPr>
          <w:b/>
          <w:sz w:val="24"/>
          <w:szCs w:val="24"/>
        </w:rPr>
        <w:t>GÖREVLİSİ</w:t>
      </w:r>
      <w:r w:rsidR="00FE3FB7">
        <w:rPr>
          <w:b/>
          <w:sz w:val="24"/>
          <w:szCs w:val="24"/>
        </w:rPr>
        <w:t xml:space="preserve"> </w:t>
      </w:r>
    </w:p>
    <w:p w:rsidR="00E2695B" w:rsidRDefault="00907D93" w:rsidP="0074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3F7957">
        <w:rPr>
          <w:b/>
          <w:sz w:val="24"/>
          <w:szCs w:val="24"/>
        </w:rPr>
        <w:t>GÖREV AMACI:</w:t>
      </w:r>
      <w:r>
        <w:rPr>
          <w:b/>
        </w:rPr>
        <w:t xml:space="preserve"> </w:t>
      </w:r>
      <w:r w:rsidR="00E22935">
        <w:t xml:space="preserve">Akademik Birimlerden gelen </w:t>
      </w:r>
      <w:proofErr w:type="spellStart"/>
      <w:r w:rsidR="00E22935">
        <w:t>ekders</w:t>
      </w:r>
      <w:proofErr w:type="spellEnd"/>
      <w:r w:rsidR="00E22935">
        <w:t xml:space="preserve"> evraklarının ilgili mevzuat gereği kontrolü ve ödemesinin yapılmasını sağlamak</w:t>
      </w:r>
      <w:r w:rsidR="003D49D6">
        <w:t xml:space="preserve">. </w:t>
      </w:r>
    </w:p>
    <w:p w:rsidR="0025628C" w:rsidRDefault="0021491A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proofErr w:type="gramStart"/>
      <w:r w:rsidRPr="00946E62">
        <w:rPr>
          <w:b/>
        </w:rPr>
        <w:t xml:space="preserve">İLGİLİ MEVZUAT: </w:t>
      </w:r>
      <w:r w:rsidR="007C5E91">
        <w:rPr>
          <w:b/>
        </w:rPr>
        <w:br/>
      </w:r>
      <w:proofErr w:type="spellStart"/>
      <w:r w:rsidR="007C5E91" w:rsidRPr="007C5E91">
        <w:t>Ekders</w:t>
      </w:r>
      <w:proofErr w:type="spellEnd"/>
      <w:r w:rsidR="007C5E91" w:rsidRPr="007C5E91">
        <w:t xml:space="preserve"> Ödemelerine ilişkin Usul ve Esaslar</w:t>
      </w:r>
      <w:r w:rsidRPr="007C5E91">
        <w:t xml:space="preserve">                                                                                                                                                                             </w:t>
      </w:r>
      <w:r w:rsidRPr="002D7648">
        <w:t>657 sayılı Devlet Memurları Kanunu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Pr="00B36690">
        <w:t>5018 sayılı Kamu M</w:t>
      </w:r>
      <w:r w:rsidR="00742AF4">
        <w:t>ali Yönetimi ve Kontrol Kanunu</w:t>
      </w:r>
      <w:r w:rsidRPr="00B36690">
        <w:t xml:space="preserve"> </w:t>
      </w:r>
      <w:r w:rsidR="00B56A48">
        <w:t xml:space="preserve"> </w:t>
      </w:r>
      <w:r>
        <w:t xml:space="preserve">       </w:t>
      </w:r>
      <w:r w:rsidR="0046410D">
        <w:t xml:space="preserve">                                                                              </w:t>
      </w:r>
      <w:r w:rsidR="00AF2DB4">
        <w:t xml:space="preserve">6183 sayılı Amme Alacaklarının Tahsil </w:t>
      </w:r>
      <w:proofErr w:type="spellStart"/>
      <w:r w:rsidR="00AF2DB4">
        <w:t>Usulu</w:t>
      </w:r>
      <w:proofErr w:type="spellEnd"/>
      <w:r w:rsidR="00AF2DB4">
        <w:t xml:space="preserve"> Hakkında Kanun</w:t>
      </w:r>
      <w:r>
        <w:t xml:space="preserve">                                                                    </w:t>
      </w:r>
      <w:r w:rsidR="0046410D">
        <w:t xml:space="preserve">2547 sayılı Yükseköğretim Kanunu                                                                                                                      2914 Sayılı Yükseköğretim Personel Kanunu                                                                                                        </w:t>
      </w:r>
      <w:r w:rsidR="005B34B8">
        <w:t xml:space="preserve">                                                                                                                                                         </w:t>
      </w:r>
      <w:r>
        <w:t xml:space="preserve">                    </w:t>
      </w:r>
      <w:r w:rsidR="0025628C">
        <w:t>3843 sayılı Y</w:t>
      </w:r>
      <w:r w:rsidR="0025628C" w:rsidRPr="00524594">
        <w:t>ü</w:t>
      </w:r>
      <w:r w:rsidR="0025628C">
        <w:t>kseköğretim Kurumlarında İkili Ö</w:t>
      </w:r>
      <w:r w:rsidR="0025628C" w:rsidRPr="00524594">
        <w:t>ğre</w:t>
      </w:r>
      <w:r w:rsidR="0025628C">
        <w:t xml:space="preserve">tim Yapılması Hakkındaki                                             </w:t>
      </w:r>
      <w:r w:rsidRPr="00B36690">
        <w:t>Strateji Geliştirme Birimlerinin Çalışma Usul ve</w:t>
      </w:r>
      <w:r w:rsidR="00742AF4">
        <w:t xml:space="preserve"> Esasları Hakkındaki Yönetmelik</w:t>
      </w:r>
      <w:r w:rsidRPr="00B36690">
        <w:t xml:space="preserve">                                               İç Kontrol ve Ön Malî Kontrole İlişkin Usul</w:t>
      </w:r>
      <w:r w:rsidR="00742AF4">
        <w:t xml:space="preserve"> ve Esaslar Hakkında Yönetmelik</w:t>
      </w:r>
      <w:r w:rsidRPr="00B36690">
        <w:t xml:space="preserve">    </w:t>
      </w:r>
      <w:r>
        <w:t xml:space="preserve">   </w:t>
      </w:r>
      <w:r w:rsidR="00AF2DB4">
        <w:t xml:space="preserve">                                                                          </w:t>
      </w:r>
      <w:r>
        <w:t xml:space="preserve"> Merkezi Yönetim</w:t>
      </w:r>
      <w:r w:rsidR="00742AF4">
        <w:t xml:space="preserve"> Harcama Belgeleri Yönetmeliği</w:t>
      </w:r>
      <w:r>
        <w:t xml:space="preserve">                                                                                                        </w:t>
      </w:r>
      <w:proofErr w:type="gramEnd"/>
    </w:p>
    <w:p w:rsidR="0021491A" w:rsidRPr="00085040" w:rsidRDefault="0025628C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r>
        <w:t xml:space="preserve">                                  </w:t>
      </w:r>
      <w:r w:rsidR="0021491A" w:rsidRPr="00B36690">
        <w:t xml:space="preserve">  </w:t>
      </w:r>
    </w:p>
    <w:p w:rsidR="00907D93" w:rsidRPr="0027230B" w:rsidRDefault="00907D93" w:rsidP="00A0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27230B">
        <w:rPr>
          <w:b/>
          <w:sz w:val="24"/>
          <w:szCs w:val="24"/>
        </w:rPr>
        <w:t>GÖREVL</w:t>
      </w:r>
      <w:r w:rsidR="00A023CB" w:rsidRPr="0027230B">
        <w:rPr>
          <w:b/>
          <w:sz w:val="24"/>
          <w:szCs w:val="24"/>
        </w:rPr>
        <w:t>E</w:t>
      </w:r>
      <w:r w:rsidRPr="0027230B">
        <w:rPr>
          <w:b/>
          <w:sz w:val="24"/>
          <w:szCs w:val="24"/>
        </w:rPr>
        <w:t>R</w:t>
      </w:r>
    </w:p>
    <w:p w:rsidR="00EF2C8A" w:rsidRDefault="00EF2C8A" w:rsidP="00EF2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60" w:line="259" w:lineRule="auto"/>
      </w:pPr>
      <w:r>
        <w:t>Akademik dönem başlarında; birimlerden gelen F1 formları yönetim kurulu kararlarını ve ders programlarını ek ders mevzuatı çerçevesinde kontrol etmek,</w:t>
      </w:r>
    </w:p>
    <w:p w:rsidR="00EF2C8A" w:rsidRDefault="00EF2C8A" w:rsidP="00EF2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9" w:lineRule="auto"/>
      </w:pPr>
      <w:r>
        <w:t>Ek ders ödeme emri belgesi ve eklerinin merkezi yönetim harcama belgesi yönetmeliğine göre kontrolünü yapmak,</w:t>
      </w:r>
    </w:p>
    <w:p w:rsidR="00EF2C8A" w:rsidRDefault="00EF2C8A" w:rsidP="00EF2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9" w:lineRule="auto"/>
      </w:pPr>
      <w:r>
        <w:t>Ek ders ödeme emri belgesi ve eklerini ek ders mevzuatı mali hükümlerine göre kontrol etmek,</w:t>
      </w:r>
    </w:p>
    <w:p w:rsidR="00EF2C8A" w:rsidRDefault="00EF2C8A" w:rsidP="00EF2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60" w:line="259" w:lineRule="auto"/>
      </w:pPr>
      <w:r>
        <w:t>Birimlerin eksik/hatalı ek ders işlemlerini muhasebe yetkilisine bildirmek,</w:t>
      </w:r>
    </w:p>
    <w:p w:rsidR="00EF2C8A" w:rsidRDefault="00EF2C8A" w:rsidP="00886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59" w:lineRule="auto"/>
      </w:pPr>
      <w:bookmarkStart w:id="0" w:name="_GoBack"/>
      <w:r>
        <w:t>Daire Başkanı ve/veya Birim amiri tarafından verilen diğer görevleri yapmaktır.</w:t>
      </w:r>
    </w:p>
    <w:bookmarkEnd w:id="0"/>
    <w:p w:rsidR="00101BEF" w:rsidRPr="009C16BF" w:rsidRDefault="00101BEF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9C16BF">
        <w:rPr>
          <w:rFonts w:cstheme="minorHAnsi"/>
          <w:b/>
          <w:sz w:val="24"/>
          <w:szCs w:val="24"/>
        </w:rPr>
        <w:lastRenderedPageBreak/>
        <w:t>SORUMLULUKLAR</w:t>
      </w:r>
    </w:p>
    <w:p w:rsidR="00101BEF" w:rsidRPr="00FE47A5" w:rsidRDefault="00653DDF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653DDF">
        <w:rPr>
          <w:rFonts w:cstheme="minorHAnsi"/>
        </w:rPr>
        <w:t>Etik kurallara</w:t>
      </w:r>
      <w:r w:rsidR="0027230B">
        <w:rPr>
          <w:rFonts w:cstheme="minorHAnsi"/>
        </w:rPr>
        <w:t xml:space="preserve"> uygun davranışlarda bulunmak, </w:t>
      </w:r>
      <w:r w:rsidR="00592C5E">
        <w:rPr>
          <w:rFonts w:cstheme="minorHAnsi"/>
        </w:rPr>
        <w:t>görevlerini yerine getirmek,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 xml:space="preserve">Mevzuatı takip etmek, değişiklikler hakkında Başkanlığa bilgi vererek ilgili </w:t>
      </w:r>
      <w:r w:rsidR="00592C5E">
        <w:rPr>
          <w:rFonts w:cstheme="minorHAnsi"/>
        </w:rPr>
        <w:t>iş ve işlemleri yerine getirmek,</w:t>
      </w:r>
    </w:p>
    <w:p w:rsidR="007E04BD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Görevi ile ilgili tüm faaliyetlerini mevcut iç kontrol sisteminin tanım ve düzenlemelerine uygun olarak yürütülmesini sağlamak</w:t>
      </w:r>
      <w:r w:rsidR="00592C5E">
        <w:rPr>
          <w:rFonts w:cstheme="minorHAnsi"/>
        </w:rPr>
        <w:t>,</w:t>
      </w:r>
    </w:p>
    <w:p w:rsidR="00764FDE" w:rsidRDefault="00764FDE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kullanılacak biçimde yerine getirmek</w:t>
      </w:r>
      <w:r w:rsidR="00592C5E">
        <w:t>tir</w:t>
      </w:r>
      <w:r>
        <w:t>.</w:t>
      </w:r>
    </w:p>
    <w:p w:rsidR="00907D93" w:rsidRDefault="00907D93" w:rsidP="00857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 w:rsidRPr="009C16BF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5F2D57" w:rsidRPr="00FE47A5" w:rsidRDefault="00907D93" w:rsidP="008571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jc w:val="both"/>
        <w:rPr>
          <w:rFonts w:ascii="Calibri" w:eastAsia="Calibri" w:hAnsi="Calibri" w:cs="Times New Roman"/>
        </w:rPr>
      </w:pPr>
      <w:r w:rsidRPr="009C16BF">
        <w:rPr>
          <w:b/>
          <w:sz w:val="24"/>
          <w:szCs w:val="24"/>
        </w:rPr>
        <w:t>İLETİŞİM İÇERİSİNDE OLUNAN BİRİMLER:</w:t>
      </w:r>
      <w:r w:rsidR="00FE47A5" w:rsidRPr="00FE47A5">
        <w:rPr>
          <w:rFonts w:ascii="Calibri" w:eastAsia="Calibri" w:hAnsi="Calibri" w:cs="Times New Roman"/>
        </w:rPr>
        <w:t xml:space="preserve"> TBMM, Maliye Bakanlığı, Kalkınma Bakanlığı, Sayıştay, Diğer Kamu İdareleri ve Üniversitenin tüm birimleri.</w:t>
      </w:r>
    </w:p>
    <w:tbl>
      <w:tblPr>
        <w:tblStyle w:val="TabloKlavuzu"/>
        <w:tblW w:w="9345" w:type="dxa"/>
        <w:tblLook w:val="04A0" w:firstRow="1" w:lastRow="0" w:firstColumn="1" w:lastColumn="0" w:noHBand="0" w:noVBand="1"/>
      </w:tblPr>
      <w:tblGrid>
        <w:gridCol w:w="2921"/>
        <w:gridCol w:w="3367"/>
        <w:gridCol w:w="3057"/>
      </w:tblGrid>
      <w:tr w:rsidR="00907D93" w:rsidTr="00D30646">
        <w:trPr>
          <w:trHeight w:val="255"/>
        </w:trPr>
        <w:tc>
          <w:tcPr>
            <w:tcW w:w="9345" w:type="dxa"/>
            <w:gridSpan w:val="3"/>
          </w:tcPr>
          <w:p w:rsidR="00907D93" w:rsidRPr="009C16BF" w:rsidRDefault="009C16BF" w:rsidP="00321AE0">
            <w:pPr>
              <w:rPr>
                <w:b/>
                <w:sz w:val="24"/>
                <w:szCs w:val="24"/>
              </w:rPr>
            </w:pPr>
            <w:r w:rsidRPr="009C16BF">
              <w:rPr>
                <w:b/>
                <w:sz w:val="24"/>
                <w:szCs w:val="24"/>
              </w:rPr>
              <w:t>YETKİNLİKLER</w:t>
            </w:r>
          </w:p>
        </w:tc>
      </w:tr>
      <w:tr w:rsidR="00907D93" w:rsidTr="00D30646">
        <w:trPr>
          <w:trHeight w:val="255"/>
        </w:trPr>
        <w:tc>
          <w:tcPr>
            <w:tcW w:w="9345" w:type="dxa"/>
            <w:gridSpan w:val="3"/>
          </w:tcPr>
          <w:p w:rsidR="00907D93" w:rsidRDefault="00907D93" w:rsidP="00321AE0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07D93" w:rsidTr="00D30646">
        <w:trPr>
          <w:trHeight w:val="1529"/>
        </w:trPr>
        <w:tc>
          <w:tcPr>
            <w:tcW w:w="2921" w:type="dxa"/>
          </w:tcPr>
          <w:p w:rsidR="000927FE" w:rsidRDefault="000927FE" w:rsidP="000927FE">
            <w:pPr>
              <w:spacing w:line="360" w:lineRule="auto"/>
            </w:pPr>
            <w:r>
              <w:t xml:space="preserve">Başarı ve </w:t>
            </w:r>
            <w:r w:rsidR="004A46E7">
              <w:t>ç</w:t>
            </w:r>
            <w:r>
              <w:t xml:space="preserve">aba </w:t>
            </w:r>
          </w:p>
          <w:p w:rsidR="000927FE" w:rsidRDefault="000927FE" w:rsidP="000927FE">
            <w:pPr>
              <w:spacing w:line="360" w:lineRule="auto"/>
            </w:pPr>
            <w:r>
              <w:t xml:space="preserve">Detaylara </w:t>
            </w:r>
            <w:r w:rsidR="004A46E7">
              <w:t>ö</w:t>
            </w:r>
            <w:r>
              <w:t xml:space="preserve">nem </w:t>
            </w:r>
            <w:r w:rsidR="004A46E7">
              <w:t>v</w:t>
            </w:r>
            <w:r>
              <w:t>erme</w:t>
            </w:r>
          </w:p>
          <w:p w:rsidR="000927FE" w:rsidRDefault="004A46E7" w:rsidP="000927FE">
            <w:pPr>
              <w:spacing w:line="360" w:lineRule="auto"/>
            </w:pPr>
            <w:r>
              <w:t>Gelişime ve d</w:t>
            </w:r>
            <w:r w:rsidR="000927FE">
              <w:t>e</w:t>
            </w:r>
            <w:r>
              <w:t>ğişime y</w:t>
            </w:r>
            <w:r w:rsidR="000927FE">
              <w:t>atkınlık</w:t>
            </w:r>
          </w:p>
          <w:p w:rsidR="000927FE" w:rsidRDefault="004A46E7" w:rsidP="000927FE">
            <w:pPr>
              <w:spacing w:line="360" w:lineRule="auto"/>
            </w:pPr>
            <w:r>
              <w:t>İletişim ve ilişki k</w:t>
            </w:r>
            <w:r w:rsidR="000927FE">
              <w:t xml:space="preserve">urma </w:t>
            </w:r>
          </w:p>
          <w:p w:rsidR="000927FE" w:rsidRDefault="004A46E7" w:rsidP="000927FE">
            <w:pPr>
              <w:spacing w:line="360" w:lineRule="auto"/>
            </w:pPr>
            <w:r>
              <w:t>İş ahlakı ve g</w:t>
            </w:r>
            <w:r w:rsidR="000927FE">
              <w:t>üvenilirlik</w:t>
            </w:r>
          </w:p>
          <w:p w:rsidR="000927FE" w:rsidRDefault="004A46E7" w:rsidP="000927FE">
            <w:pPr>
              <w:spacing w:line="360" w:lineRule="auto"/>
            </w:pPr>
            <w:r>
              <w:t>Problem ç</w:t>
            </w:r>
            <w:r w:rsidR="000927FE">
              <w:t xml:space="preserve">özme </w:t>
            </w:r>
          </w:p>
          <w:p w:rsidR="00907D93" w:rsidRDefault="004A46E7" w:rsidP="000927FE">
            <w:pPr>
              <w:spacing w:line="360" w:lineRule="auto"/>
            </w:pPr>
            <w:r>
              <w:t>Sonuç o</w:t>
            </w:r>
            <w:r w:rsidR="000927FE">
              <w:t xml:space="preserve">daklılık </w:t>
            </w:r>
          </w:p>
        </w:tc>
        <w:tc>
          <w:tcPr>
            <w:tcW w:w="3367" w:type="dxa"/>
          </w:tcPr>
          <w:p w:rsidR="000927FE" w:rsidRDefault="004A46E7" w:rsidP="000927FE">
            <w:pPr>
              <w:spacing w:line="360" w:lineRule="auto"/>
            </w:pPr>
            <w:r>
              <w:t>Kamu m</w:t>
            </w:r>
            <w:r w:rsidR="000927FE">
              <w:t>a</w:t>
            </w:r>
            <w:r w:rsidR="00233F6C">
              <w:t xml:space="preserve">li yönetim mevzuatı </w:t>
            </w:r>
          </w:p>
          <w:p w:rsidR="000927FE" w:rsidRDefault="004A46E7" w:rsidP="000927FE">
            <w:pPr>
              <w:spacing w:line="360" w:lineRule="auto"/>
            </w:pPr>
            <w:r>
              <w:t>Microsoft Office k</w:t>
            </w:r>
            <w:r w:rsidR="000927FE">
              <w:t>ullanımı</w:t>
            </w:r>
          </w:p>
          <w:p w:rsidR="00AF2DB4" w:rsidRDefault="00AF2DB4" w:rsidP="00AF2DB4">
            <w:pPr>
              <w:spacing w:line="360" w:lineRule="auto"/>
            </w:pPr>
            <w:r>
              <w:t xml:space="preserve">Veri analiz ve değerlendirme  </w:t>
            </w:r>
          </w:p>
          <w:p w:rsidR="000927FE" w:rsidRDefault="004A46E7" w:rsidP="000927FE">
            <w:pPr>
              <w:spacing w:line="360" w:lineRule="auto"/>
            </w:pPr>
            <w:r>
              <w:t>Resmi yazışma ve d</w:t>
            </w:r>
            <w:r w:rsidR="000927FE">
              <w:t>osyalama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Sistematik i</w:t>
            </w:r>
            <w:r w:rsidR="000927FE">
              <w:t xml:space="preserve">ş </w:t>
            </w:r>
            <w:r>
              <w:t>p</w:t>
            </w:r>
            <w:r w:rsidR="000927FE">
              <w:t>lanlama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Kontrol ve d</w:t>
            </w:r>
            <w:r w:rsidR="000927FE">
              <w:t>enetim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Rapor h</w:t>
            </w:r>
            <w:r w:rsidR="000927FE">
              <w:t>azırlama</w:t>
            </w:r>
          </w:p>
          <w:p w:rsidR="000927FE" w:rsidRDefault="000927FE" w:rsidP="000927FE">
            <w:pPr>
              <w:framePr w:hSpace="141" w:wrap="around" w:vAnchor="text" w:hAnchor="margin" w:y="-1598"/>
              <w:spacing w:line="360" w:lineRule="auto"/>
            </w:pPr>
            <w:r>
              <w:t xml:space="preserve">Süreç </w:t>
            </w:r>
            <w:r w:rsidR="004A46E7">
              <w:t>a</w:t>
            </w:r>
            <w:r>
              <w:t>nalizi</w:t>
            </w:r>
          </w:p>
          <w:p w:rsidR="00907D93" w:rsidRDefault="00907D93" w:rsidP="00AF2DB4">
            <w:pPr>
              <w:framePr w:hSpace="141" w:wrap="around" w:vAnchor="text" w:hAnchor="margin" w:y="-1598"/>
              <w:spacing w:line="360" w:lineRule="auto"/>
            </w:pPr>
          </w:p>
        </w:tc>
        <w:tc>
          <w:tcPr>
            <w:tcW w:w="3057" w:type="dxa"/>
          </w:tcPr>
          <w:p w:rsidR="00907D93" w:rsidRDefault="00907D93" w:rsidP="009C16BF">
            <w:pPr>
              <w:spacing w:line="360" w:lineRule="auto"/>
            </w:pPr>
          </w:p>
        </w:tc>
      </w:tr>
    </w:tbl>
    <w:p w:rsidR="00907D93" w:rsidRDefault="00907D93" w:rsidP="00907D93">
      <w:r>
        <w:t xml:space="preserve">Görev Tanımını                                                                                                                      </w:t>
      </w:r>
    </w:p>
    <w:p w:rsidR="008D6485" w:rsidRDefault="008D6485" w:rsidP="008D6485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8D6485" w:rsidRDefault="008D6485" w:rsidP="008D6485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907D93" w:rsidRDefault="009134A9" w:rsidP="00907D93">
      <w:r>
        <w:t xml:space="preserve">Görevli </w:t>
      </w:r>
      <w:proofErr w:type="gramStart"/>
      <w:r>
        <w:t>P</w:t>
      </w:r>
      <w:r w:rsidR="00FE47A5">
        <w:t xml:space="preserve">ersonel : </w:t>
      </w:r>
      <w:r w:rsidR="00573EB1">
        <w:t>Daire</w:t>
      </w:r>
      <w:proofErr w:type="gramEnd"/>
      <w:r w:rsidR="00573EB1">
        <w:t xml:space="preserve"> Başkanı Şerafettin KÖSE                                                            </w:t>
      </w:r>
      <w:r>
        <w:t>İ</w:t>
      </w:r>
      <w:r w:rsidR="00907D93">
        <w:t xml:space="preserve">mza :                                                </w:t>
      </w:r>
    </w:p>
    <w:sectPr w:rsidR="00907D93" w:rsidSect="0067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3A" w:rsidRDefault="00721B3A" w:rsidP="003F6A2C">
      <w:pPr>
        <w:spacing w:after="0" w:line="240" w:lineRule="auto"/>
      </w:pPr>
      <w:r>
        <w:separator/>
      </w:r>
    </w:p>
  </w:endnote>
  <w:endnote w:type="continuationSeparator" w:id="0">
    <w:p w:rsidR="00721B3A" w:rsidRDefault="00721B3A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3A" w:rsidRDefault="00721B3A" w:rsidP="003F6A2C">
      <w:pPr>
        <w:spacing w:after="0" w:line="240" w:lineRule="auto"/>
      </w:pPr>
      <w:r>
        <w:separator/>
      </w:r>
    </w:p>
  </w:footnote>
  <w:footnote w:type="continuationSeparator" w:id="0">
    <w:p w:rsidR="00721B3A" w:rsidRDefault="00721B3A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4B9B"/>
    <w:multiLevelType w:val="multilevel"/>
    <w:tmpl w:val="C6D68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7E"/>
    <w:rsid w:val="00052688"/>
    <w:rsid w:val="000542B2"/>
    <w:rsid w:val="0007234C"/>
    <w:rsid w:val="00085040"/>
    <w:rsid w:val="000927FE"/>
    <w:rsid w:val="000B6646"/>
    <w:rsid w:val="000C79D6"/>
    <w:rsid w:val="00101BEF"/>
    <w:rsid w:val="00191CC5"/>
    <w:rsid w:val="001D6A51"/>
    <w:rsid w:val="0021491A"/>
    <w:rsid w:val="00224A63"/>
    <w:rsid w:val="00233F6C"/>
    <w:rsid w:val="0025628C"/>
    <w:rsid w:val="0027230B"/>
    <w:rsid w:val="00297331"/>
    <w:rsid w:val="002B4966"/>
    <w:rsid w:val="002C4F04"/>
    <w:rsid w:val="00316B96"/>
    <w:rsid w:val="0032375E"/>
    <w:rsid w:val="0034078C"/>
    <w:rsid w:val="003D1630"/>
    <w:rsid w:val="003D49D6"/>
    <w:rsid w:val="003F6A2C"/>
    <w:rsid w:val="003F7957"/>
    <w:rsid w:val="00443989"/>
    <w:rsid w:val="0046410D"/>
    <w:rsid w:val="004642F3"/>
    <w:rsid w:val="00474A57"/>
    <w:rsid w:val="004A46E7"/>
    <w:rsid w:val="004F47B5"/>
    <w:rsid w:val="00550FD9"/>
    <w:rsid w:val="005555A9"/>
    <w:rsid w:val="00573EB1"/>
    <w:rsid w:val="00592C5E"/>
    <w:rsid w:val="005B15B0"/>
    <w:rsid w:val="005B345A"/>
    <w:rsid w:val="005B34B8"/>
    <w:rsid w:val="005F2D57"/>
    <w:rsid w:val="00642258"/>
    <w:rsid w:val="00647C7E"/>
    <w:rsid w:val="00652C2B"/>
    <w:rsid w:val="00653DDF"/>
    <w:rsid w:val="00665BFF"/>
    <w:rsid w:val="006761AB"/>
    <w:rsid w:val="00681B08"/>
    <w:rsid w:val="00706A29"/>
    <w:rsid w:val="00721B3A"/>
    <w:rsid w:val="00742AF4"/>
    <w:rsid w:val="00764FDE"/>
    <w:rsid w:val="007C2C5E"/>
    <w:rsid w:val="007C3F26"/>
    <w:rsid w:val="007C5E91"/>
    <w:rsid w:val="007E04BD"/>
    <w:rsid w:val="0082072D"/>
    <w:rsid w:val="00821BAE"/>
    <w:rsid w:val="00837DF8"/>
    <w:rsid w:val="00857115"/>
    <w:rsid w:val="008869C0"/>
    <w:rsid w:val="008D1A3A"/>
    <w:rsid w:val="008D2B83"/>
    <w:rsid w:val="008D6485"/>
    <w:rsid w:val="00907D93"/>
    <w:rsid w:val="009134A9"/>
    <w:rsid w:val="0091612F"/>
    <w:rsid w:val="009635D7"/>
    <w:rsid w:val="0097230C"/>
    <w:rsid w:val="009872FD"/>
    <w:rsid w:val="009C16BF"/>
    <w:rsid w:val="009E2227"/>
    <w:rsid w:val="009E68E2"/>
    <w:rsid w:val="009F4178"/>
    <w:rsid w:val="00A023CB"/>
    <w:rsid w:val="00A31D85"/>
    <w:rsid w:val="00A97F76"/>
    <w:rsid w:val="00AD76C6"/>
    <w:rsid w:val="00AE2697"/>
    <w:rsid w:val="00AF2DB4"/>
    <w:rsid w:val="00B254F4"/>
    <w:rsid w:val="00B56A48"/>
    <w:rsid w:val="00B609EB"/>
    <w:rsid w:val="00B703B1"/>
    <w:rsid w:val="00B81B72"/>
    <w:rsid w:val="00B85C2E"/>
    <w:rsid w:val="00C012A3"/>
    <w:rsid w:val="00C135F4"/>
    <w:rsid w:val="00C771CD"/>
    <w:rsid w:val="00CA4CF3"/>
    <w:rsid w:val="00CD2002"/>
    <w:rsid w:val="00D30646"/>
    <w:rsid w:val="00D41A73"/>
    <w:rsid w:val="00D4564A"/>
    <w:rsid w:val="00E22935"/>
    <w:rsid w:val="00E2695B"/>
    <w:rsid w:val="00E35E12"/>
    <w:rsid w:val="00E957A9"/>
    <w:rsid w:val="00EF2C8A"/>
    <w:rsid w:val="00F31FEB"/>
    <w:rsid w:val="00F804F2"/>
    <w:rsid w:val="00FE092E"/>
    <w:rsid w:val="00FE3C1B"/>
    <w:rsid w:val="00FE3FB7"/>
    <w:rsid w:val="00FE47A5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2C"/>
  </w:style>
  <w:style w:type="paragraph" w:styleId="Altbilgi">
    <w:name w:val="footer"/>
    <w:basedOn w:val="Normal"/>
    <w:link w:val="Al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2C"/>
  </w:style>
  <w:style w:type="character" w:styleId="Kpr">
    <w:name w:val="Hyperlink"/>
    <w:basedOn w:val="VarsaylanParagrafYazTipi"/>
    <w:uiPriority w:val="99"/>
    <w:unhideWhenUsed/>
    <w:rsid w:val="005F2D5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1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9490-B680-47B2-B947-8D2988C5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User</cp:lastModifiedBy>
  <cp:revision>77</cp:revision>
  <cp:lastPrinted>2019-03-22T06:46:00Z</cp:lastPrinted>
  <dcterms:created xsi:type="dcterms:W3CDTF">2013-04-04T08:41:00Z</dcterms:created>
  <dcterms:modified xsi:type="dcterms:W3CDTF">2019-03-22T06:50:00Z</dcterms:modified>
</cp:coreProperties>
</file>